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0F0" w:rsidRPr="000E478A" w:rsidRDefault="009250F0" w:rsidP="00C77036">
      <w:pPr>
        <w:jc w:val="center"/>
        <w:rPr>
          <w:rFonts w:ascii="Comic Sans MS" w:hAnsi="Comic Sans MS"/>
          <w:b/>
          <w:sz w:val="22"/>
          <w:lang w:val="it-IT"/>
        </w:rPr>
      </w:pPr>
      <w:r w:rsidRPr="000E478A">
        <w:rPr>
          <w:rFonts w:ascii="Comic Sans MS" w:hAnsi="Comic Sans MS"/>
          <w:b/>
          <w:sz w:val="22"/>
          <w:lang w:val="it-IT"/>
        </w:rPr>
        <w:t>Gli interventi del Governo per l’attuazione delle decisioni</w:t>
      </w:r>
    </w:p>
    <w:p w:rsidR="009250F0" w:rsidRPr="000E478A" w:rsidRDefault="009250F0" w:rsidP="00C77036">
      <w:pPr>
        <w:jc w:val="center"/>
        <w:rPr>
          <w:sz w:val="22"/>
          <w:lang w:val="it-IT"/>
        </w:rPr>
      </w:pPr>
      <w:r w:rsidRPr="000E478A">
        <w:rPr>
          <w:rFonts w:ascii="Comic Sans MS" w:hAnsi="Comic Sans MS"/>
          <w:b/>
          <w:sz w:val="22"/>
          <w:lang w:val="it-IT"/>
        </w:rPr>
        <w:t>della Corte Europea dei Diritti dell’Uomo</w:t>
      </w:r>
      <w:r w:rsidRPr="000E478A">
        <w:rPr>
          <w:sz w:val="22"/>
          <w:lang w:val="it-IT"/>
        </w:rPr>
        <w:t>.</w:t>
      </w:r>
    </w:p>
    <w:p w:rsidR="009250F0" w:rsidRPr="000E478A" w:rsidRDefault="009250F0" w:rsidP="009250F0">
      <w:pPr>
        <w:jc w:val="center"/>
        <w:rPr>
          <w:sz w:val="22"/>
          <w:lang w:val="it-IT"/>
        </w:rPr>
      </w:pPr>
    </w:p>
    <w:p w:rsidR="009250F0" w:rsidRPr="000E478A" w:rsidRDefault="009250F0" w:rsidP="009250F0">
      <w:pPr>
        <w:jc w:val="center"/>
        <w:rPr>
          <w:sz w:val="22"/>
          <w:lang w:val="it-IT"/>
        </w:rPr>
      </w:pPr>
    </w:p>
    <w:p w:rsidR="009250F0" w:rsidRPr="000E478A" w:rsidRDefault="009250F0" w:rsidP="009250F0">
      <w:pPr>
        <w:jc w:val="both"/>
        <w:rPr>
          <w:rFonts w:ascii="Comic Sans MS" w:hAnsi="Comic Sans MS"/>
          <w:sz w:val="22"/>
          <w:lang w:val="it-IT"/>
        </w:rPr>
      </w:pPr>
      <w:r w:rsidRPr="000E478A">
        <w:rPr>
          <w:rFonts w:ascii="Comic Sans MS" w:hAnsi="Comic Sans MS"/>
          <w:sz w:val="22"/>
          <w:lang w:val="it-IT"/>
        </w:rPr>
        <w:t>L’art. 46 CEDU impone alle Alte Parti Contraenti l’obbligo di conformarsi alle sentenze definitive della Corte per le controversie in cui sono parte.</w:t>
      </w:r>
    </w:p>
    <w:p w:rsidR="009250F0" w:rsidRPr="000E478A" w:rsidRDefault="009250F0" w:rsidP="009250F0">
      <w:pPr>
        <w:jc w:val="both"/>
        <w:rPr>
          <w:rFonts w:ascii="Comic Sans MS" w:hAnsi="Comic Sans MS"/>
          <w:sz w:val="22"/>
          <w:lang w:val="it-IT"/>
        </w:rPr>
      </w:pPr>
      <w:r w:rsidRPr="000E478A">
        <w:rPr>
          <w:rFonts w:ascii="Comic Sans MS" w:hAnsi="Comic Sans MS"/>
          <w:sz w:val="22"/>
          <w:lang w:val="it-IT"/>
        </w:rPr>
        <w:t>Come è stato efficacemente illustrato nelle precedenti relazioni, tale obbligo vincola gli Stati in merito al fine da raggiungere, lasciando loro la discrezionalità nella scelta dei mezzi con i quali perseguire lo scopo (analogamente a quanto è disposto dall’art. 94 della Carta delle Nazioni Unite sull’obbligo di conformarsi alle sentenze della Corte Internazionale di Giustizia).</w:t>
      </w:r>
    </w:p>
    <w:p w:rsidR="009250F0" w:rsidRPr="000E478A" w:rsidRDefault="009250F0" w:rsidP="009250F0">
      <w:pPr>
        <w:jc w:val="both"/>
        <w:rPr>
          <w:rFonts w:ascii="Comic Sans MS" w:hAnsi="Comic Sans MS"/>
          <w:i/>
          <w:sz w:val="22"/>
          <w:lang w:val="it-IT"/>
        </w:rPr>
      </w:pPr>
      <w:r w:rsidRPr="000E478A">
        <w:rPr>
          <w:rFonts w:ascii="Comic Sans MS" w:hAnsi="Comic Sans MS"/>
          <w:sz w:val="22"/>
          <w:lang w:val="it-IT"/>
        </w:rPr>
        <w:t xml:space="preserve">La portata </w:t>
      </w:r>
      <w:r w:rsidR="00024CC7" w:rsidRPr="000E478A">
        <w:rPr>
          <w:rFonts w:ascii="Comic Sans MS" w:hAnsi="Comic Sans MS"/>
          <w:sz w:val="22"/>
          <w:lang w:val="it-IT"/>
        </w:rPr>
        <w:t xml:space="preserve">effettiva di tale obbligo </w:t>
      </w:r>
      <w:r w:rsidR="008926D5">
        <w:rPr>
          <w:rFonts w:ascii="Comic Sans MS" w:hAnsi="Comic Sans MS"/>
          <w:sz w:val="22"/>
          <w:lang w:val="it-IT"/>
        </w:rPr>
        <w:t>è</w:t>
      </w:r>
      <w:r w:rsidR="00D33DE3" w:rsidRPr="000E478A">
        <w:rPr>
          <w:rFonts w:ascii="Comic Sans MS" w:hAnsi="Comic Sans MS"/>
          <w:sz w:val="22"/>
          <w:lang w:val="it-IT"/>
        </w:rPr>
        <w:t xml:space="preserve"> stata</w:t>
      </w:r>
      <w:r w:rsidR="008926D5">
        <w:rPr>
          <w:rFonts w:ascii="Comic Sans MS" w:hAnsi="Comic Sans MS"/>
          <w:sz w:val="22"/>
          <w:lang w:val="it-IT"/>
        </w:rPr>
        <w:t xml:space="preserve"> chiarita </w:t>
      </w:r>
      <w:r w:rsidR="00024CC7" w:rsidRPr="000E478A">
        <w:rPr>
          <w:rFonts w:ascii="Comic Sans MS" w:hAnsi="Comic Sans MS"/>
          <w:sz w:val="22"/>
          <w:lang w:val="it-IT"/>
        </w:rPr>
        <w:t>dalla Corte</w:t>
      </w:r>
      <w:r w:rsidR="008926D5">
        <w:rPr>
          <w:rFonts w:ascii="Comic Sans MS" w:hAnsi="Comic Sans MS"/>
          <w:sz w:val="22"/>
          <w:lang w:val="it-IT"/>
        </w:rPr>
        <w:t xml:space="preserve"> europea</w:t>
      </w:r>
      <w:r w:rsidR="00024CC7" w:rsidRPr="000E478A">
        <w:rPr>
          <w:rFonts w:ascii="Comic Sans MS" w:hAnsi="Comic Sans MS"/>
          <w:sz w:val="22"/>
          <w:lang w:val="it-IT"/>
        </w:rPr>
        <w:t xml:space="preserve"> nella sentenza 16 ottobre 2007</w:t>
      </w:r>
      <w:r w:rsidR="00181617" w:rsidRPr="000E478A">
        <w:rPr>
          <w:rFonts w:ascii="Comic Sans MS" w:hAnsi="Comic Sans MS"/>
          <w:sz w:val="22"/>
          <w:lang w:val="it-IT"/>
        </w:rPr>
        <w:t xml:space="preserve"> </w:t>
      </w:r>
      <w:r w:rsidR="00181617" w:rsidRPr="000E478A">
        <w:rPr>
          <w:rFonts w:ascii="Comic Sans MS" w:hAnsi="Comic Sans MS"/>
          <w:i/>
          <w:sz w:val="22"/>
          <w:lang w:val="it-IT"/>
        </w:rPr>
        <w:t>De Trana c/ Italia</w:t>
      </w:r>
      <w:r w:rsidR="00181617" w:rsidRPr="000E478A">
        <w:rPr>
          <w:rFonts w:ascii="Comic Sans MS" w:hAnsi="Comic Sans MS"/>
          <w:sz w:val="22"/>
          <w:lang w:val="it-IT"/>
        </w:rPr>
        <w:t xml:space="preserve"> </w:t>
      </w:r>
      <w:r w:rsidR="00740D7F">
        <w:rPr>
          <w:rFonts w:ascii="Comic Sans MS" w:hAnsi="Comic Sans MS"/>
          <w:sz w:val="22"/>
          <w:lang w:val="it-IT"/>
        </w:rPr>
        <w:t>(</w:t>
      </w:r>
      <w:r w:rsidR="00181617" w:rsidRPr="000E478A">
        <w:rPr>
          <w:rFonts w:ascii="Comic Sans MS" w:hAnsi="Comic Sans MS"/>
          <w:sz w:val="22"/>
          <w:lang w:val="it-IT"/>
        </w:rPr>
        <w:t xml:space="preserve">ma vi era già una affermazione sostanzialmente analoga nella </w:t>
      </w:r>
      <w:r w:rsidR="008926D5">
        <w:rPr>
          <w:rFonts w:ascii="Comic Sans MS" w:hAnsi="Comic Sans MS"/>
          <w:sz w:val="22"/>
          <w:lang w:val="it-IT"/>
        </w:rPr>
        <w:t>decisione</w:t>
      </w:r>
      <w:r w:rsidR="00181617" w:rsidRPr="000E478A">
        <w:rPr>
          <w:rFonts w:ascii="Comic Sans MS" w:hAnsi="Comic Sans MS"/>
          <w:sz w:val="22"/>
          <w:lang w:val="it-IT"/>
        </w:rPr>
        <w:t xml:space="preserve"> </w:t>
      </w:r>
      <w:r w:rsidR="00181617" w:rsidRPr="000E478A">
        <w:rPr>
          <w:rFonts w:ascii="Comic Sans MS" w:hAnsi="Comic Sans MS"/>
          <w:i/>
          <w:sz w:val="22"/>
          <w:lang w:val="it-IT"/>
        </w:rPr>
        <w:t>Scozzari e Giunta c/</w:t>
      </w:r>
      <w:r w:rsidR="00181617" w:rsidRPr="000E478A">
        <w:rPr>
          <w:rFonts w:ascii="Comic Sans MS" w:hAnsi="Comic Sans MS"/>
          <w:sz w:val="22"/>
          <w:lang w:val="it-IT"/>
        </w:rPr>
        <w:t xml:space="preserve"> </w:t>
      </w:r>
      <w:r w:rsidR="00181617" w:rsidRPr="000E478A">
        <w:rPr>
          <w:rFonts w:ascii="Comic Sans MS" w:hAnsi="Comic Sans MS"/>
          <w:i/>
          <w:sz w:val="22"/>
          <w:lang w:val="it-IT"/>
        </w:rPr>
        <w:t>Italia</w:t>
      </w:r>
      <w:r w:rsidR="00181617" w:rsidRPr="000E478A">
        <w:rPr>
          <w:rFonts w:ascii="Comic Sans MS" w:hAnsi="Comic Sans MS"/>
          <w:sz w:val="22"/>
          <w:lang w:val="it-IT"/>
        </w:rPr>
        <w:t xml:space="preserve"> del 13.6.2000)</w:t>
      </w:r>
      <w:r w:rsidR="008926D5">
        <w:rPr>
          <w:rFonts w:ascii="Comic Sans MS" w:hAnsi="Comic Sans MS"/>
          <w:sz w:val="22"/>
          <w:lang w:val="it-IT"/>
        </w:rPr>
        <w:t>,</w:t>
      </w:r>
      <w:r w:rsidR="00181617" w:rsidRPr="000E478A">
        <w:rPr>
          <w:rFonts w:ascii="Comic Sans MS" w:hAnsi="Comic Sans MS"/>
          <w:sz w:val="22"/>
          <w:lang w:val="it-IT"/>
        </w:rPr>
        <w:t xml:space="preserve"> </w:t>
      </w:r>
      <w:r w:rsidR="00024CC7" w:rsidRPr="000E478A">
        <w:rPr>
          <w:rFonts w:ascii="Comic Sans MS" w:hAnsi="Comic Sans MS"/>
          <w:sz w:val="22"/>
          <w:lang w:val="it-IT"/>
        </w:rPr>
        <w:t>laddove afferma</w:t>
      </w:r>
      <w:r w:rsidR="00D33DE3" w:rsidRPr="000E478A">
        <w:rPr>
          <w:rFonts w:ascii="Comic Sans MS" w:hAnsi="Comic Sans MS"/>
          <w:sz w:val="22"/>
          <w:lang w:val="it-IT"/>
        </w:rPr>
        <w:t>va</w:t>
      </w:r>
      <w:r w:rsidR="00024CC7" w:rsidRPr="000E478A">
        <w:rPr>
          <w:rFonts w:ascii="Comic Sans MS" w:hAnsi="Comic Sans MS"/>
          <w:sz w:val="22"/>
          <w:lang w:val="it-IT"/>
        </w:rPr>
        <w:t xml:space="preserve"> che “L</w:t>
      </w:r>
      <w:r w:rsidR="00024CC7" w:rsidRPr="000E478A">
        <w:rPr>
          <w:rFonts w:ascii="Comic Sans MS" w:hAnsi="Comic Sans MS"/>
          <w:i/>
          <w:sz w:val="22"/>
          <w:lang w:val="it-IT"/>
        </w:rPr>
        <w:t xml:space="preserve">a constatazione di violazione comporta lo pubblico giuridico per lo Stato convenuto non solo di versare le somme accordare in sede di equa soddisfazione, ma anche di scegliere, sotto il controllo del Comitato dei Ministri, le misure generali e/o individuali da adottare nell’ordine giuridico interno per porre fine alla violazione constatata dalla </w:t>
      </w:r>
      <w:r w:rsidR="00181617" w:rsidRPr="000E478A">
        <w:rPr>
          <w:rFonts w:ascii="Comic Sans MS" w:hAnsi="Comic Sans MS"/>
          <w:i/>
          <w:sz w:val="22"/>
          <w:lang w:val="it-IT"/>
        </w:rPr>
        <w:t>C</w:t>
      </w:r>
      <w:r w:rsidR="00024CC7" w:rsidRPr="000E478A">
        <w:rPr>
          <w:rFonts w:ascii="Comic Sans MS" w:hAnsi="Comic Sans MS"/>
          <w:i/>
          <w:sz w:val="22"/>
          <w:lang w:val="it-IT"/>
        </w:rPr>
        <w:t xml:space="preserve">orte ed eliminarne </w:t>
      </w:r>
      <w:r w:rsidR="00181617" w:rsidRPr="000E478A">
        <w:rPr>
          <w:rFonts w:ascii="Comic Sans MS" w:hAnsi="Comic Sans MS"/>
          <w:i/>
          <w:sz w:val="22"/>
          <w:lang w:val="it-IT"/>
        </w:rPr>
        <w:t>i</w:t>
      </w:r>
      <w:r w:rsidR="00024CC7" w:rsidRPr="000E478A">
        <w:rPr>
          <w:rFonts w:ascii="Comic Sans MS" w:hAnsi="Comic Sans MS"/>
          <w:i/>
          <w:sz w:val="22"/>
          <w:lang w:val="it-IT"/>
        </w:rPr>
        <w:t>l più possibile le conseguenze in modo da ripristinare la situazione anteriore alla violazione</w:t>
      </w:r>
      <w:r w:rsidR="00181617" w:rsidRPr="000E478A">
        <w:rPr>
          <w:rFonts w:ascii="Comic Sans MS" w:hAnsi="Comic Sans MS"/>
          <w:i/>
          <w:sz w:val="22"/>
          <w:lang w:val="it-IT"/>
        </w:rPr>
        <w:t>”</w:t>
      </w:r>
      <w:r w:rsidR="00024CC7" w:rsidRPr="000E478A">
        <w:rPr>
          <w:rFonts w:ascii="Comic Sans MS" w:hAnsi="Comic Sans MS"/>
          <w:i/>
          <w:sz w:val="22"/>
          <w:lang w:val="it-IT"/>
        </w:rPr>
        <w:t>.</w:t>
      </w:r>
    </w:p>
    <w:p w:rsidR="00D33DE3" w:rsidRPr="000E478A" w:rsidRDefault="00D33DE3" w:rsidP="009250F0">
      <w:pPr>
        <w:jc w:val="both"/>
        <w:rPr>
          <w:rFonts w:ascii="Comic Sans MS" w:hAnsi="Comic Sans MS"/>
          <w:sz w:val="22"/>
          <w:lang w:val="it-IT"/>
        </w:rPr>
      </w:pPr>
    </w:p>
    <w:p w:rsidR="00D33DE3" w:rsidRPr="000E478A" w:rsidRDefault="00181617" w:rsidP="009250F0">
      <w:pPr>
        <w:jc w:val="both"/>
        <w:rPr>
          <w:rFonts w:ascii="Comic Sans MS" w:hAnsi="Comic Sans MS"/>
          <w:sz w:val="22"/>
          <w:lang w:val="it-IT"/>
        </w:rPr>
      </w:pPr>
      <w:r w:rsidRPr="000E478A">
        <w:rPr>
          <w:rFonts w:ascii="Comic Sans MS" w:hAnsi="Comic Sans MS"/>
          <w:sz w:val="22"/>
          <w:lang w:val="it-IT"/>
        </w:rPr>
        <w:t>Come si è visto, l</w:t>
      </w:r>
      <w:r w:rsidR="009250F0" w:rsidRPr="000E478A">
        <w:rPr>
          <w:rFonts w:ascii="Comic Sans MS" w:hAnsi="Comic Sans MS"/>
          <w:sz w:val="22"/>
          <w:lang w:val="it-IT"/>
        </w:rPr>
        <w:t xml:space="preserve">a fase dell’esecuzione delle sentenze della CEDU </w:t>
      </w:r>
      <w:r w:rsidRPr="000E478A">
        <w:rPr>
          <w:rFonts w:ascii="Comic Sans MS" w:hAnsi="Comic Sans MS"/>
          <w:sz w:val="22"/>
          <w:lang w:val="it-IT"/>
        </w:rPr>
        <w:t>si svolge su due diversi versanti: quello europeo</w:t>
      </w:r>
      <w:r w:rsidR="00ED70BE" w:rsidRPr="000E478A">
        <w:rPr>
          <w:rFonts w:ascii="Comic Sans MS" w:hAnsi="Comic Sans MS"/>
          <w:sz w:val="22"/>
          <w:lang w:val="it-IT"/>
        </w:rPr>
        <w:t xml:space="preserve"> -</w:t>
      </w:r>
      <w:r w:rsidRPr="000E478A">
        <w:rPr>
          <w:rFonts w:ascii="Comic Sans MS" w:hAnsi="Comic Sans MS"/>
          <w:sz w:val="22"/>
          <w:lang w:val="it-IT"/>
        </w:rPr>
        <w:t xml:space="preserve"> il cui protagonista è il Comitato dei Ministri, organo collegiale incaricato della sorveglianza sull’esecuzione delle decisioni CEDU, con poteri di impulso e supervisione</w:t>
      </w:r>
      <w:r w:rsidR="00ED70BE" w:rsidRPr="000E478A">
        <w:rPr>
          <w:rFonts w:ascii="Comic Sans MS" w:hAnsi="Comic Sans MS"/>
          <w:sz w:val="22"/>
          <w:lang w:val="it-IT"/>
        </w:rPr>
        <w:t xml:space="preserve"> -</w:t>
      </w:r>
      <w:r w:rsidRPr="000E478A">
        <w:rPr>
          <w:rFonts w:ascii="Comic Sans MS" w:hAnsi="Comic Sans MS"/>
          <w:sz w:val="22"/>
          <w:lang w:val="it-IT"/>
        </w:rPr>
        <w:t xml:space="preserve"> e quello nazionale, </w:t>
      </w:r>
      <w:r w:rsidR="00ED70BE" w:rsidRPr="000E478A">
        <w:rPr>
          <w:rFonts w:ascii="Comic Sans MS" w:hAnsi="Comic Sans MS"/>
          <w:sz w:val="22"/>
          <w:lang w:val="it-IT"/>
        </w:rPr>
        <w:t xml:space="preserve">i </w:t>
      </w:r>
      <w:r w:rsidRPr="000E478A">
        <w:rPr>
          <w:rFonts w:ascii="Comic Sans MS" w:hAnsi="Comic Sans MS"/>
          <w:sz w:val="22"/>
          <w:lang w:val="it-IT"/>
        </w:rPr>
        <w:t xml:space="preserve">cui </w:t>
      </w:r>
      <w:r w:rsidR="00ED70BE" w:rsidRPr="000E478A">
        <w:rPr>
          <w:rFonts w:ascii="Comic Sans MS" w:hAnsi="Comic Sans MS"/>
          <w:sz w:val="22"/>
          <w:lang w:val="it-IT"/>
        </w:rPr>
        <w:t>attori variano a seconda del contenuto della decisione europea e delle misure da adottare per darvi completa attuazione.</w:t>
      </w:r>
    </w:p>
    <w:p w:rsidR="00AF11A2" w:rsidRPr="000E478A" w:rsidRDefault="00D33DE3" w:rsidP="009250F0">
      <w:pPr>
        <w:jc w:val="both"/>
        <w:rPr>
          <w:rFonts w:ascii="Comic Sans MS" w:hAnsi="Comic Sans MS"/>
          <w:sz w:val="22"/>
          <w:lang w:val="it-IT"/>
        </w:rPr>
      </w:pPr>
      <w:r w:rsidRPr="000E478A">
        <w:rPr>
          <w:rFonts w:ascii="Comic Sans MS" w:hAnsi="Comic Sans MS"/>
          <w:sz w:val="22"/>
          <w:lang w:val="it-IT"/>
        </w:rPr>
        <w:t xml:space="preserve">Questa relazione si sofferma </w:t>
      </w:r>
      <w:r w:rsidR="00AF11A2" w:rsidRPr="000E478A">
        <w:rPr>
          <w:rFonts w:ascii="Comic Sans MS" w:hAnsi="Comic Sans MS"/>
          <w:sz w:val="22"/>
          <w:lang w:val="it-IT"/>
        </w:rPr>
        <w:t xml:space="preserve">sul momento cruciale dell’attuazione convenzionale a livello nazionale, ponendo </w:t>
      </w:r>
      <w:r w:rsidR="00740D7F">
        <w:rPr>
          <w:rFonts w:ascii="Comic Sans MS" w:hAnsi="Comic Sans MS"/>
          <w:sz w:val="22"/>
          <w:lang w:val="it-IT"/>
        </w:rPr>
        <w:t>la sua attenzione sugli organi interni deputati</w:t>
      </w:r>
      <w:r w:rsidR="00AF11A2" w:rsidRPr="000E478A">
        <w:rPr>
          <w:rFonts w:ascii="Comic Sans MS" w:hAnsi="Comic Sans MS"/>
          <w:sz w:val="22"/>
          <w:lang w:val="it-IT"/>
        </w:rPr>
        <w:t xml:space="preserve"> </w:t>
      </w:r>
      <w:r w:rsidR="00740D7F">
        <w:rPr>
          <w:rFonts w:ascii="Comic Sans MS" w:hAnsi="Comic Sans MS"/>
          <w:sz w:val="22"/>
          <w:lang w:val="it-IT"/>
        </w:rPr>
        <w:t>al</w:t>
      </w:r>
      <w:r w:rsidR="00AF11A2" w:rsidRPr="000E478A">
        <w:rPr>
          <w:rFonts w:ascii="Comic Sans MS" w:hAnsi="Comic Sans MS"/>
          <w:sz w:val="22"/>
          <w:lang w:val="it-IT"/>
        </w:rPr>
        <w:t>la concreta esecuzione delle decisioni CEDU.</w:t>
      </w:r>
    </w:p>
    <w:p w:rsidR="00AF11A2" w:rsidRPr="000E478A" w:rsidRDefault="00D33DE3" w:rsidP="009250F0">
      <w:pPr>
        <w:jc w:val="both"/>
        <w:rPr>
          <w:rFonts w:ascii="Comic Sans MS" w:hAnsi="Comic Sans MS"/>
          <w:sz w:val="22"/>
          <w:lang w:val="it-IT"/>
        </w:rPr>
      </w:pPr>
      <w:r w:rsidRPr="000E478A">
        <w:rPr>
          <w:rFonts w:ascii="Comic Sans MS" w:hAnsi="Comic Sans MS"/>
          <w:sz w:val="22"/>
          <w:lang w:val="it-IT"/>
        </w:rPr>
        <w:t>La parte inerente il complesso rapporto tra le sentenze della Corte europea e le decisioni dei giudici nazionali</w:t>
      </w:r>
      <w:r w:rsidR="00066378">
        <w:rPr>
          <w:rFonts w:ascii="Comic Sans MS" w:hAnsi="Comic Sans MS"/>
          <w:sz w:val="22"/>
          <w:lang w:val="it-IT"/>
        </w:rPr>
        <w:t xml:space="preserve"> – come delineato dalle pronunce della nostra Corte Costituzionale - nonché</w:t>
      </w:r>
      <w:r w:rsidRPr="000E478A">
        <w:rPr>
          <w:rFonts w:ascii="Comic Sans MS" w:hAnsi="Comic Sans MS"/>
          <w:sz w:val="22"/>
          <w:lang w:val="it-IT"/>
        </w:rPr>
        <w:t xml:space="preserve"> le ricadute </w:t>
      </w:r>
      <w:r w:rsidR="00740D7F">
        <w:rPr>
          <w:rFonts w:ascii="Comic Sans MS" w:hAnsi="Comic Sans MS"/>
          <w:sz w:val="22"/>
          <w:lang w:val="it-IT"/>
        </w:rPr>
        <w:t xml:space="preserve">delle prime </w:t>
      </w:r>
      <w:r w:rsidRPr="000E478A">
        <w:rPr>
          <w:rFonts w:ascii="Comic Sans MS" w:hAnsi="Comic Sans MS"/>
          <w:sz w:val="22"/>
          <w:lang w:val="it-IT"/>
        </w:rPr>
        <w:t>sul giudicato interno non costituisce</w:t>
      </w:r>
      <w:r w:rsidR="008926D5">
        <w:rPr>
          <w:rFonts w:ascii="Comic Sans MS" w:hAnsi="Comic Sans MS"/>
          <w:sz w:val="22"/>
          <w:lang w:val="it-IT"/>
        </w:rPr>
        <w:t xml:space="preserve">, </w:t>
      </w:r>
      <w:r w:rsidR="00740D7F">
        <w:rPr>
          <w:rFonts w:ascii="Comic Sans MS" w:hAnsi="Comic Sans MS"/>
          <w:sz w:val="22"/>
          <w:lang w:val="it-IT"/>
        </w:rPr>
        <w:t>invece</w:t>
      </w:r>
      <w:r w:rsidR="008926D5">
        <w:rPr>
          <w:rFonts w:ascii="Comic Sans MS" w:hAnsi="Comic Sans MS"/>
          <w:sz w:val="22"/>
          <w:lang w:val="it-IT"/>
        </w:rPr>
        <w:t>,</w:t>
      </w:r>
      <w:r w:rsidR="00740D7F">
        <w:rPr>
          <w:rFonts w:ascii="Comic Sans MS" w:hAnsi="Comic Sans MS"/>
          <w:sz w:val="22"/>
          <w:lang w:val="it-IT"/>
        </w:rPr>
        <w:t xml:space="preserve"> oggetto della presente rela</w:t>
      </w:r>
      <w:r w:rsidRPr="000E478A">
        <w:rPr>
          <w:rFonts w:ascii="Comic Sans MS" w:hAnsi="Comic Sans MS"/>
          <w:sz w:val="22"/>
          <w:lang w:val="it-IT"/>
        </w:rPr>
        <w:t>zione</w:t>
      </w:r>
      <w:r w:rsidR="00AF11A2" w:rsidRPr="000E478A">
        <w:rPr>
          <w:rFonts w:ascii="Comic Sans MS" w:hAnsi="Comic Sans MS"/>
          <w:sz w:val="22"/>
          <w:lang w:val="it-IT"/>
        </w:rPr>
        <w:t>.</w:t>
      </w:r>
    </w:p>
    <w:p w:rsidR="00ED70BE" w:rsidRPr="000E478A" w:rsidRDefault="00ED70BE" w:rsidP="009250F0">
      <w:pPr>
        <w:jc w:val="both"/>
        <w:rPr>
          <w:rFonts w:ascii="Comic Sans MS" w:hAnsi="Comic Sans MS"/>
          <w:sz w:val="22"/>
          <w:lang w:val="it-IT"/>
        </w:rPr>
      </w:pPr>
    </w:p>
    <w:p w:rsidR="000E478A" w:rsidRPr="000E478A" w:rsidRDefault="00AF11A2" w:rsidP="00ED70BE">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Ciò premesso, va preliminarmente osservato che l</w:t>
      </w:r>
      <w:r w:rsidR="00ED70BE" w:rsidRPr="000E478A">
        <w:rPr>
          <w:rFonts w:ascii="Comic Sans MS" w:hAnsi="Comic Sans MS"/>
          <w:sz w:val="22"/>
          <w:lang w:val="it-IT"/>
        </w:rPr>
        <w:t>a giurisprudenza della Corte di Strasburgo è</w:t>
      </w:r>
      <w:r w:rsidR="000E478A" w:rsidRPr="000E478A">
        <w:rPr>
          <w:rFonts w:ascii="Comic Sans MS" w:hAnsi="Comic Sans MS"/>
          <w:sz w:val="22"/>
          <w:lang w:val="it-IT"/>
        </w:rPr>
        <w:t>, come vedremo,</w:t>
      </w:r>
      <w:r w:rsidR="00ED70BE" w:rsidRPr="000E478A">
        <w:rPr>
          <w:rFonts w:ascii="Comic Sans MS" w:hAnsi="Comic Sans MS"/>
          <w:sz w:val="22"/>
          <w:lang w:val="it-IT"/>
        </w:rPr>
        <w:t xml:space="preserve"> quanto mai varia</w:t>
      </w:r>
      <w:r w:rsidR="000E478A" w:rsidRPr="000E478A">
        <w:rPr>
          <w:rFonts w:ascii="Comic Sans MS" w:hAnsi="Comic Sans MS"/>
          <w:sz w:val="22"/>
          <w:lang w:val="it-IT"/>
        </w:rPr>
        <w:t xml:space="preserve"> e l’interpretazione delle decisioni della Corte non è sempre agevole; inoltre, va considerato che il principio di sussidiarietà – che ispira anche la fese esecutiva – lascia ampio margine agli Stati membri nella scelta delle misure necessarie per conformarsi alle sentenze CEDU, sia pur sotto il controllo e la supervisione del Comitato dei Ministri.</w:t>
      </w:r>
    </w:p>
    <w:p w:rsidR="00D61B1A" w:rsidRPr="000E478A" w:rsidRDefault="00D61B1A" w:rsidP="00ED70BE">
      <w:pPr>
        <w:widowControl w:val="0"/>
        <w:autoSpaceDE w:val="0"/>
        <w:autoSpaceDN w:val="0"/>
        <w:adjustRightInd w:val="0"/>
        <w:jc w:val="both"/>
        <w:rPr>
          <w:rFonts w:ascii="Comic Sans MS" w:hAnsi="Comic Sans MS"/>
          <w:sz w:val="22"/>
          <w:lang w:val="it-IT"/>
        </w:rPr>
      </w:pPr>
    </w:p>
    <w:p w:rsidR="00C72222" w:rsidRDefault="00B706D2" w:rsidP="00ED70BE">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Prima di esaminare le singole tipologie di sentenze e verificare con alcuni casi pratici l</w:t>
      </w:r>
      <w:r w:rsidR="00C72222">
        <w:rPr>
          <w:rFonts w:ascii="Comic Sans MS" w:hAnsi="Comic Sans MS"/>
          <w:sz w:val="22"/>
          <w:lang w:val="it-IT"/>
        </w:rPr>
        <w:t>a</w:t>
      </w:r>
      <w:r w:rsidRPr="000E478A">
        <w:rPr>
          <w:rFonts w:ascii="Comic Sans MS" w:hAnsi="Comic Sans MS"/>
          <w:sz w:val="22"/>
          <w:lang w:val="it-IT"/>
        </w:rPr>
        <w:t xml:space="preserve"> varietà delle modalità di esecuzione delle decisioni della corte europea, va posto in rilievo che, con la cd. </w:t>
      </w:r>
      <w:r w:rsidRPr="000E478A">
        <w:rPr>
          <w:rFonts w:ascii="Comic Sans MS" w:hAnsi="Comic Sans MS"/>
          <w:b/>
          <w:sz w:val="22"/>
          <w:lang w:val="it-IT"/>
        </w:rPr>
        <w:t>Legge Azzolini n. 12/2006</w:t>
      </w:r>
      <w:r w:rsidR="000E478A">
        <w:rPr>
          <w:rFonts w:ascii="Comic Sans MS" w:hAnsi="Comic Sans MS"/>
          <w:b/>
          <w:sz w:val="22"/>
          <w:lang w:val="it-IT"/>
        </w:rPr>
        <w:t>,</w:t>
      </w:r>
      <w:r w:rsidRPr="000E478A">
        <w:rPr>
          <w:rFonts w:ascii="Comic Sans MS" w:hAnsi="Comic Sans MS"/>
          <w:sz w:val="22"/>
          <w:lang w:val="it-IT"/>
        </w:rPr>
        <w:t xml:space="preserve"> è stata attribuita alla Presidenza del Consiglio dei Ministri la competenza in materia di esecuzione </w:t>
      </w:r>
      <w:r w:rsidR="00C72222">
        <w:rPr>
          <w:rFonts w:ascii="Comic Sans MS" w:hAnsi="Comic Sans MS"/>
          <w:sz w:val="22"/>
          <w:lang w:val="it-IT"/>
        </w:rPr>
        <w:t>delle pronunce CEDU.</w:t>
      </w:r>
      <w:r w:rsidRPr="000E478A">
        <w:rPr>
          <w:rFonts w:ascii="Comic Sans MS" w:hAnsi="Comic Sans MS"/>
          <w:sz w:val="22"/>
          <w:lang w:val="it-IT"/>
        </w:rPr>
        <w:t xml:space="preserve"> </w:t>
      </w:r>
    </w:p>
    <w:p w:rsidR="00B706D2" w:rsidRPr="000E478A" w:rsidRDefault="00C72222" w:rsidP="00ED70BE">
      <w:pPr>
        <w:widowControl w:val="0"/>
        <w:autoSpaceDE w:val="0"/>
        <w:autoSpaceDN w:val="0"/>
        <w:adjustRightInd w:val="0"/>
        <w:jc w:val="both"/>
        <w:rPr>
          <w:rFonts w:ascii="Comic Sans MS" w:hAnsi="Comic Sans MS"/>
          <w:sz w:val="22"/>
          <w:lang w:val="it-IT"/>
        </w:rPr>
      </w:pPr>
      <w:r>
        <w:rPr>
          <w:rFonts w:ascii="Comic Sans MS" w:hAnsi="Comic Sans MS"/>
          <w:sz w:val="22"/>
          <w:lang w:val="it-IT"/>
        </w:rPr>
        <w:t>A</w:t>
      </w:r>
      <w:r w:rsidR="00B706D2" w:rsidRPr="000E478A">
        <w:rPr>
          <w:rFonts w:ascii="Comic Sans MS" w:hAnsi="Comic Sans MS"/>
          <w:sz w:val="22"/>
          <w:lang w:val="it-IT"/>
        </w:rPr>
        <w:t>ll’art.</w:t>
      </w:r>
      <w:r w:rsidR="008E4E22" w:rsidRPr="000E478A">
        <w:rPr>
          <w:rFonts w:ascii="Comic Sans MS" w:hAnsi="Comic Sans MS"/>
          <w:sz w:val="22"/>
          <w:lang w:val="it-IT"/>
        </w:rPr>
        <w:t xml:space="preserve"> 5, comma 3</w:t>
      </w:r>
      <w:r w:rsidR="000E478A">
        <w:rPr>
          <w:rFonts w:ascii="Comic Sans MS" w:hAnsi="Comic Sans MS"/>
          <w:sz w:val="22"/>
          <w:lang w:val="it-IT"/>
        </w:rPr>
        <w:t>°</w:t>
      </w:r>
      <w:r w:rsidR="008E4E22" w:rsidRPr="000E478A">
        <w:rPr>
          <w:rFonts w:ascii="Comic Sans MS" w:hAnsi="Comic Sans MS"/>
          <w:sz w:val="22"/>
          <w:lang w:val="it-IT"/>
        </w:rPr>
        <w:t xml:space="preserve"> della legge 23.8.198</w:t>
      </w:r>
      <w:r w:rsidR="00B706D2" w:rsidRPr="000E478A">
        <w:rPr>
          <w:rFonts w:ascii="Comic Sans MS" w:hAnsi="Comic Sans MS"/>
          <w:sz w:val="22"/>
          <w:lang w:val="it-IT"/>
        </w:rPr>
        <w:t xml:space="preserve">8 n. 400 </w:t>
      </w:r>
      <w:r w:rsidR="002A1648">
        <w:rPr>
          <w:rFonts w:ascii="Comic Sans MS" w:hAnsi="Comic Sans MS"/>
          <w:sz w:val="22"/>
          <w:lang w:val="it-IT"/>
        </w:rPr>
        <w:t>è stata</w:t>
      </w:r>
      <w:r w:rsidR="000E478A">
        <w:rPr>
          <w:rFonts w:ascii="Comic Sans MS" w:hAnsi="Comic Sans MS"/>
          <w:sz w:val="22"/>
          <w:lang w:val="it-IT"/>
        </w:rPr>
        <w:t>,</w:t>
      </w:r>
      <w:r w:rsidR="00B706D2" w:rsidRPr="000E478A">
        <w:rPr>
          <w:rFonts w:ascii="Comic Sans MS" w:hAnsi="Comic Sans MS"/>
          <w:sz w:val="22"/>
          <w:lang w:val="it-IT"/>
        </w:rPr>
        <w:t xml:space="preserve"> </w:t>
      </w:r>
      <w:r w:rsidR="004C3CB0">
        <w:rPr>
          <w:rFonts w:ascii="Comic Sans MS" w:hAnsi="Comic Sans MS"/>
          <w:sz w:val="22"/>
          <w:lang w:val="it-IT"/>
        </w:rPr>
        <w:t>infatti, inserita</w:t>
      </w:r>
      <w:r w:rsidR="00B706D2" w:rsidRPr="000E478A">
        <w:rPr>
          <w:rFonts w:ascii="Comic Sans MS" w:hAnsi="Comic Sans MS"/>
          <w:sz w:val="22"/>
          <w:lang w:val="it-IT"/>
        </w:rPr>
        <w:t xml:space="preserve"> la lettera </w:t>
      </w:r>
      <w:r w:rsidR="00B706D2" w:rsidRPr="008926D5">
        <w:rPr>
          <w:rFonts w:ascii="Comic Sans MS" w:hAnsi="Comic Sans MS"/>
          <w:i/>
          <w:sz w:val="22"/>
          <w:lang w:val="it-IT"/>
        </w:rPr>
        <w:t>a bis</w:t>
      </w:r>
      <w:r w:rsidR="00B706D2" w:rsidRPr="000E478A">
        <w:rPr>
          <w:rFonts w:ascii="Comic Sans MS" w:hAnsi="Comic Sans MS"/>
          <w:sz w:val="22"/>
          <w:lang w:val="it-IT"/>
        </w:rPr>
        <w:t xml:space="preserve">) :  </w:t>
      </w:r>
    </w:p>
    <w:p w:rsidR="008E4E22" w:rsidRPr="000E478A" w:rsidRDefault="00B706D2" w:rsidP="00B706D2">
      <w:pPr>
        <w:widowControl w:val="0"/>
        <w:autoSpaceDE w:val="0"/>
        <w:autoSpaceDN w:val="0"/>
        <w:adjustRightInd w:val="0"/>
        <w:jc w:val="both"/>
        <w:rPr>
          <w:rFonts w:ascii="Comic Sans MS" w:hAnsi="Comic Sans MS"/>
          <w:i/>
          <w:sz w:val="22"/>
          <w:lang w:val="it-IT"/>
        </w:rPr>
      </w:pPr>
      <w:r w:rsidRPr="000E478A">
        <w:rPr>
          <w:rFonts w:ascii="Comic Sans MS" w:hAnsi="Comic Sans MS"/>
          <w:i/>
          <w:sz w:val="22"/>
          <w:lang w:val="it-IT"/>
        </w:rPr>
        <w:t>(Il Presidente del Consiglio dei ministri, direttamente o conferendone delega ad un ministro</w:t>
      </w:r>
      <w:r w:rsidRPr="000E478A">
        <w:rPr>
          <w:rFonts w:ascii="Comic Sans MS" w:hAnsi="Comic Sans MS"/>
          <w:i/>
          <w:sz w:val="22"/>
          <w:u w:val="single"/>
          <w:lang w:val="it-IT"/>
        </w:rPr>
        <w:t>)</w:t>
      </w:r>
      <w:r w:rsidRPr="000E478A">
        <w:rPr>
          <w:rFonts w:ascii="Comic Sans MS" w:hAnsi="Comic Sans MS"/>
          <w:i/>
          <w:sz w:val="22"/>
          <w:lang w:val="it-IT"/>
        </w:rPr>
        <w:t xml:space="preserve"> </w:t>
      </w:r>
      <w:r w:rsidRPr="000E478A">
        <w:rPr>
          <w:rFonts w:ascii="Comic Sans MS" w:hAnsi="Comic Sans MS"/>
          <w:i/>
          <w:sz w:val="22"/>
          <w:u w:val="single"/>
          <w:lang w:val="it-IT"/>
        </w:rPr>
        <w:t>promuove</w:t>
      </w:r>
      <w:r w:rsidRPr="000E478A">
        <w:rPr>
          <w:rFonts w:ascii="Comic Sans MS" w:hAnsi="Comic Sans MS"/>
          <w:i/>
          <w:sz w:val="22"/>
          <w:lang w:val="it-IT"/>
        </w:rPr>
        <w:t xml:space="preserve"> gli adempimenti di competenza governativa conseguenti alle pronunce della Corte europea dei diritti dell'uomo emanate nei confronti dello Stato italiano</w:t>
      </w:r>
      <w:r w:rsidRPr="000E478A">
        <w:rPr>
          <w:rFonts w:ascii="Comic Sans MS" w:hAnsi="Comic Sans MS"/>
          <w:i/>
          <w:sz w:val="22"/>
          <w:u w:val="single"/>
          <w:lang w:val="it-IT"/>
        </w:rPr>
        <w:t>; comunica</w:t>
      </w:r>
      <w:r w:rsidRPr="000E478A">
        <w:rPr>
          <w:rFonts w:ascii="Comic Sans MS" w:hAnsi="Comic Sans MS"/>
          <w:i/>
          <w:sz w:val="22"/>
          <w:lang w:val="it-IT"/>
        </w:rPr>
        <w:t xml:space="preserve"> tempestivamente alle Camere le medesime pronunce ai fini dell'esame da parte delle competenti Commissioni parlamentari permanenti e </w:t>
      </w:r>
      <w:r w:rsidRPr="000E478A">
        <w:rPr>
          <w:rFonts w:ascii="Comic Sans MS" w:hAnsi="Comic Sans MS"/>
          <w:i/>
          <w:sz w:val="22"/>
          <w:u w:val="single"/>
          <w:lang w:val="it-IT"/>
        </w:rPr>
        <w:t>presenta annualmente</w:t>
      </w:r>
      <w:r w:rsidRPr="000E478A">
        <w:rPr>
          <w:rFonts w:ascii="Comic Sans MS" w:hAnsi="Comic Sans MS"/>
          <w:i/>
          <w:sz w:val="22"/>
          <w:lang w:val="it-IT"/>
        </w:rPr>
        <w:t xml:space="preserve"> al Parlamento una relazione sullo stato di esecuzione delle suddette pronunce.</w:t>
      </w:r>
    </w:p>
    <w:p w:rsidR="00B706D2" w:rsidRPr="000E478A" w:rsidRDefault="008E4E22" w:rsidP="00B706D2">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 xml:space="preserve">L’inserimento della novella legislativa nell’art. 5 della Legge n. 400/1988 appare particolarmente significativo, poiché detto articolo prevede analoghe </w:t>
      </w:r>
      <w:r w:rsidR="008926D5">
        <w:rPr>
          <w:rFonts w:ascii="Comic Sans MS" w:hAnsi="Comic Sans MS"/>
          <w:sz w:val="22"/>
          <w:lang w:val="it-IT"/>
        </w:rPr>
        <w:t>competenze della Presidenza del Consiglio per</w:t>
      </w:r>
      <w:r w:rsidRPr="000E478A">
        <w:rPr>
          <w:rFonts w:ascii="Comic Sans MS" w:hAnsi="Comic Sans MS"/>
          <w:sz w:val="22"/>
          <w:lang w:val="it-IT"/>
        </w:rPr>
        <w:t xml:space="preserve"> la ricezione e la presentazione in Parlamento delle decisioni della Corte di Giustizia UE e della Corte Costituzionale.</w:t>
      </w:r>
    </w:p>
    <w:p w:rsidR="009C28D5" w:rsidRPr="000E478A" w:rsidRDefault="00B706D2" w:rsidP="009C28D5">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Alla legge hanno fatto seguito alcune disposizioni</w:t>
      </w:r>
      <w:r w:rsidR="009C28D5" w:rsidRPr="000E478A">
        <w:rPr>
          <w:rFonts w:ascii="Comic Sans MS" w:hAnsi="Comic Sans MS"/>
          <w:sz w:val="22"/>
          <w:lang w:val="it-IT"/>
        </w:rPr>
        <w:t xml:space="preserve"> interne della Presidenza</w:t>
      </w:r>
      <w:r w:rsidR="00834720" w:rsidRPr="000E478A">
        <w:rPr>
          <w:rFonts w:ascii="Comic Sans MS" w:hAnsi="Comic Sans MS"/>
          <w:sz w:val="22"/>
          <w:lang w:val="it-IT"/>
        </w:rPr>
        <w:t xml:space="preserve"> (</w:t>
      </w:r>
      <w:r w:rsidR="002A1648">
        <w:rPr>
          <w:rFonts w:ascii="Comic Sans MS" w:hAnsi="Comic Sans MS"/>
          <w:sz w:val="22"/>
          <w:lang w:val="it-IT"/>
        </w:rPr>
        <w:t xml:space="preserve">in particolare, il </w:t>
      </w:r>
      <w:r w:rsidR="00834720" w:rsidRPr="000E478A">
        <w:rPr>
          <w:rFonts w:ascii="Comic Sans MS" w:hAnsi="Comic Sans MS"/>
          <w:sz w:val="22"/>
          <w:lang w:val="it-IT"/>
        </w:rPr>
        <w:t>DPCM 1.2.2007)</w:t>
      </w:r>
      <w:r w:rsidR="009C28D5" w:rsidRPr="000E478A">
        <w:rPr>
          <w:rFonts w:ascii="Comic Sans MS" w:hAnsi="Comic Sans MS"/>
          <w:sz w:val="22"/>
          <w:lang w:val="it-IT"/>
        </w:rPr>
        <w:t>, che hanno individuato nel Dipartimento per gli affari giuridici e legislativi della Presidenza l’organo competente a curare gli adempimenti susseguenti alle decisioni della CEDU, con compiti di comunicazione all</w:t>
      </w:r>
      <w:r w:rsidR="00EA37E5">
        <w:rPr>
          <w:rFonts w:ascii="Comic Sans MS" w:hAnsi="Comic Sans MS"/>
          <w:sz w:val="22"/>
          <w:lang w:val="it-IT"/>
        </w:rPr>
        <w:t xml:space="preserve">e </w:t>
      </w:r>
      <w:r w:rsidR="009C28D5" w:rsidRPr="000E478A">
        <w:rPr>
          <w:rFonts w:ascii="Comic Sans MS" w:hAnsi="Comic Sans MS"/>
          <w:sz w:val="22"/>
          <w:lang w:val="it-IT"/>
        </w:rPr>
        <w:t>Amministrazion</w:t>
      </w:r>
      <w:r w:rsidR="00EA37E5">
        <w:rPr>
          <w:rFonts w:ascii="Comic Sans MS" w:hAnsi="Comic Sans MS"/>
          <w:sz w:val="22"/>
          <w:lang w:val="it-IT"/>
        </w:rPr>
        <w:t>i</w:t>
      </w:r>
      <w:r w:rsidR="009C28D5" w:rsidRPr="000E478A">
        <w:rPr>
          <w:rFonts w:ascii="Comic Sans MS" w:hAnsi="Comic Sans MS"/>
          <w:sz w:val="22"/>
          <w:lang w:val="it-IT"/>
        </w:rPr>
        <w:t xml:space="preserve"> interessat</w:t>
      </w:r>
      <w:r w:rsidR="00EA37E5">
        <w:rPr>
          <w:rFonts w:ascii="Comic Sans MS" w:hAnsi="Comic Sans MS"/>
          <w:sz w:val="22"/>
          <w:lang w:val="it-IT"/>
        </w:rPr>
        <w:t>e</w:t>
      </w:r>
      <w:r w:rsidR="009C28D5" w:rsidRPr="000E478A">
        <w:rPr>
          <w:rFonts w:ascii="Comic Sans MS" w:hAnsi="Comic Sans MS"/>
          <w:sz w:val="22"/>
          <w:lang w:val="it-IT"/>
        </w:rPr>
        <w:t xml:space="preserve"> e al Ministero dell'economia e delle finanze delle sentenze di condanna della Corte per violazioni di norme della Convenzione europea dei diritti dell'uomo a carico dell'Italia, al fine di avviare le procedure di esecuzione degli obblighi derivanti dalle sentenze stesse, ai sensi degli articoli 41 e 46 della Convenzione. </w:t>
      </w:r>
    </w:p>
    <w:p w:rsidR="009C28D5" w:rsidRPr="000E478A" w:rsidRDefault="009C28D5" w:rsidP="009C28D5">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Nell’ambito di tale compito, il Dipartimento invita l'Amministrazione competente a conformarsi ai principi convenzionali</w:t>
      </w:r>
      <w:r w:rsidR="000E478A">
        <w:rPr>
          <w:rFonts w:ascii="Comic Sans MS" w:hAnsi="Comic Sans MS"/>
          <w:sz w:val="22"/>
          <w:lang w:val="it-IT"/>
        </w:rPr>
        <w:t>,</w:t>
      </w:r>
      <w:r w:rsidRPr="000E478A">
        <w:rPr>
          <w:rFonts w:ascii="Comic Sans MS" w:hAnsi="Comic Sans MS"/>
          <w:sz w:val="22"/>
          <w:lang w:val="it-IT"/>
        </w:rPr>
        <w:t xml:space="preserve"> nonché alle eventuali statuizioni contenute nelle sentenze, suggerendo, se del caso, l'adozione delle misure individuali o generali ritenute necessarie; coordina e favorisce, altresì, l'individuazione di misure idonee a prevenire ed evitare constatazioni di violazione della Convenzione. </w:t>
      </w:r>
    </w:p>
    <w:p w:rsidR="00EA37E5" w:rsidRDefault="009C28D5" w:rsidP="009C28D5">
      <w:pPr>
        <w:pStyle w:val="NormalWeb"/>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Di particolare rilievo è il 5° comma del</w:t>
      </w:r>
      <w:r w:rsidR="00EA37E5">
        <w:rPr>
          <w:rFonts w:ascii="Comic Sans MS" w:hAnsi="Comic Sans MS" w:cstheme="minorBidi"/>
          <w:sz w:val="22"/>
          <w:szCs w:val="24"/>
          <w:lang w:val="it-IT" w:eastAsia="en-US"/>
        </w:rPr>
        <w:t>l’art. 1 del</w:t>
      </w:r>
      <w:r w:rsidRPr="000E478A">
        <w:rPr>
          <w:rFonts w:ascii="Comic Sans MS" w:hAnsi="Comic Sans MS" w:cstheme="minorBidi"/>
          <w:sz w:val="22"/>
          <w:szCs w:val="24"/>
          <w:lang w:val="it-IT" w:eastAsia="en-US"/>
        </w:rPr>
        <w:t xml:space="preserve"> DPCM 1.2.2007</w:t>
      </w:r>
      <w:r w:rsidR="00834720" w:rsidRPr="000E478A">
        <w:rPr>
          <w:rFonts w:ascii="Comic Sans MS" w:hAnsi="Comic Sans MS" w:cstheme="minorBidi"/>
          <w:sz w:val="22"/>
          <w:szCs w:val="24"/>
          <w:lang w:val="it-IT" w:eastAsia="en-US"/>
        </w:rPr>
        <w:t>,</w:t>
      </w:r>
      <w:r w:rsidRPr="000E478A">
        <w:rPr>
          <w:rFonts w:ascii="Comic Sans MS" w:hAnsi="Comic Sans MS" w:cstheme="minorBidi"/>
          <w:sz w:val="22"/>
          <w:szCs w:val="24"/>
          <w:lang w:val="it-IT" w:eastAsia="en-US"/>
        </w:rPr>
        <w:t xml:space="preserve"> ove prevede che il Dipartimento, tramite raccordo con la Rappresentanza, possa </w:t>
      </w:r>
      <w:r w:rsidR="00EA37E5">
        <w:rPr>
          <w:rFonts w:ascii="Comic Sans MS" w:hAnsi="Comic Sans MS" w:cstheme="minorBidi"/>
          <w:sz w:val="22"/>
          <w:szCs w:val="24"/>
          <w:lang w:val="it-IT" w:eastAsia="en-US"/>
        </w:rPr>
        <w:t>“</w:t>
      </w:r>
      <w:r w:rsidRPr="00C72222">
        <w:rPr>
          <w:rFonts w:ascii="Comic Sans MS" w:hAnsi="Comic Sans MS" w:cstheme="minorBidi"/>
          <w:i/>
          <w:sz w:val="22"/>
          <w:szCs w:val="24"/>
          <w:lang w:val="it-IT" w:eastAsia="en-US"/>
        </w:rPr>
        <w:t>favorire o assumere, nel rispetto delle procedure di legge vigenti e secondo i parametri di equità adottati dalla Corte, ogni opportuna iniziativa in relazione alla definizione delle controversie nelle forme dell'offerta unilaterale finalizzata alla radiazione della causa dal ruolo ai sensi dell'art. 37, paragrafo 1, lettera c), della Convenzione o del regolamento amichevole previsto dagli articoli 38 e 39 della Convenzione. In tale attività può essere sentito il parere dell'Avvocatura generale dello Stato. Tale parere</w:t>
      </w:r>
      <w:r w:rsidR="00BD789B">
        <w:rPr>
          <w:rFonts w:ascii="Comic Sans MS" w:hAnsi="Comic Sans MS" w:cstheme="minorBidi"/>
          <w:i/>
          <w:sz w:val="22"/>
          <w:szCs w:val="24"/>
          <w:lang w:val="it-IT" w:eastAsia="en-US"/>
        </w:rPr>
        <w:t>,</w:t>
      </w:r>
      <w:r w:rsidRPr="00C72222">
        <w:rPr>
          <w:rFonts w:ascii="Comic Sans MS" w:hAnsi="Comic Sans MS" w:cstheme="minorBidi"/>
          <w:i/>
          <w:sz w:val="22"/>
          <w:szCs w:val="24"/>
          <w:lang w:val="it-IT" w:eastAsia="en-US"/>
        </w:rPr>
        <w:t xml:space="preserve"> è sempre richiesto per le pratiche di particolare rilevanza</w:t>
      </w:r>
      <w:r w:rsidR="00EA37E5">
        <w:rPr>
          <w:rFonts w:ascii="Comic Sans MS" w:hAnsi="Comic Sans MS" w:cstheme="minorBidi"/>
          <w:sz w:val="22"/>
          <w:szCs w:val="24"/>
          <w:lang w:val="it-IT" w:eastAsia="en-US"/>
        </w:rPr>
        <w:t>”</w:t>
      </w:r>
      <w:r w:rsidRPr="000E478A">
        <w:rPr>
          <w:rFonts w:ascii="Comic Sans MS" w:hAnsi="Comic Sans MS" w:cstheme="minorBidi"/>
          <w:sz w:val="22"/>
          <w:szCs w:val="24"/>
          <w:lang w:val="it-IT" w:eastAsia="en-US"/>
        </w:rPr>
        <w:t>.</w:t>
      </w:r>
    </w:p>
    <w:p w:rsidR="00834720" w:rsidRPr="000E478A" w:rsidRDefault="00834720" w:rsidP="009C28D5">
      <w:pPr>
        <w:pStyle w:val="NormalWeb"/>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 xml:space="preserve">Vedremo, in seguito, alcune efficaci iniziative adottate dal Dipartimento – </w:t>
      </w:r>
      <w:r w:rsidR="00BD789B">
        <w:rPr>
          <w:rFonts w:ascii="Comic Sans MS" w:hAnsi="Comic Sans MS" w:cstheme="minorBidi"/>
          <w:sz w:val="22"/>
          <w:szCs w:val="24"/>
          <w:lang w:val="it-IT" w:eastAsia="en-US"/>
        </w:rPr>
        <w:t>in accordo</w:t>
      </w:r>
      <w:r w:rsidRPr="000E478A">
        <w:rPr>
          <w:rFonts w:ascii="Comic Sans MS" w:hAnsi="Comic Sans MS" w:cstheme="minorBidi"/>
          <w:sz w:val="22"/>
          <w:szCs w:val="24"/>
          <w:lang w:val="it-IT" w:eastAsia="en-US"/>
        </w:rPr>
        <w:t xml:space="preserve"> </w:t>
      </w:r>
      <w:r w:rsidR="00BD789B">
        <w:rPr>
          <w:rFonts w:ascii="Comic Sans MS" w:hAnsi="Comic Sans MS" w:cstheme="minorBidi"/>
          <w:sz w:val="22"/>
          <w:szCs w:val="24"/>
          <w:lang w:val="it-IT" w:eastAsia="en-US"/>
        </w:rPr>
        <w:t xml:space="preserve">con </w:t>
      </w:r>
      <w:r w:rsidRPr="000E478A">
        <w:rPr>
          <w:rFonts w:ascii="Comic Sans MS" w:hAnsi="Comic Sans MS" w:cstheme="minorBidi"/>
          <w:sz w:val="22"/>
          <w:szCs w:val="24"/>
          <w:lang w:val="it-IT" w:eastAsia="en-US"/>
        </w:rPr>
        <w:t>l’Agente del Governo</w:t>
      </w:r>
      <w:r w:rsidR="002A1648">
        <w:rPr>
          <w:rFonts w:ascii="Comic Sans MS" w:hAnsi="Comic Sans MS" w:cstheme="minorBidi"/>
          <w:sz w:val="22"/>
          <w:szCs w:val="24"/>
          <w:lang w:val="it-IT" w:eastAsia="en-US"/>
        </w:rPr>
        <w:t xml:space="preserve"> presso la Corte europea</w:t>
      </w:r>
      <w:r w:rsidRPr="000E478A">
        <w:rPr>
          <w:rFonts w:ascii="Comic Sans MS" w:hAnsi="Comic Sans MS" w:cstheme="minorBidi"/>
          <w:sz w:val="22"/>
          <w:szCs w:val="24"/>
          <w:lang w:val="it-IT" w:eastAsia="en-US"/>
        </w:rPr>
        <w:t xml:space="preserve"> - per lo smaltimento del contenzioso seriale con il nostro Paese.</w:t>
      </w:r>
    </w:p>
    <w:p w:rsidR="00196660" w:rsidRPr="000E478A" w:rsidRDefault="000E478A" w:rsidP="009C28D5">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Le disposizioni adottate dalla P</w:t>
      </w:r>
      <w:r w:rsidR="00834720" w:rsidRPr="000E478A">
        <w:rPr>
          <w:rFonts w:ascii="Comic Sans MS" w:hAnsi="Comic Sans MS" w:cstheme="minorBidi"/>
          <w:sz w:val="22"/>
          <w:szCs w:val="24"/>
          <w:lang w:val="it-IT" w:eastAsia="en-US"/>
        </w:rPr>
        <w:t>residenza stabiliscono, infine, che il Dipartimento trasmetta</w:t>
      </w:r>
      <w:r w:rsidR="009C28D5" w:rsidRPr="000E478A">
        <w:rPr>
          <w:rFonts w:ascii="Comic Sans MS" w:hAnsi="Comic Sans MS" w:cstheme="minorBidi"/>
          <w:sz w:val="22"/>
          <w:szCs w:val="24"/>
          <w:lang w:val="it-IT" w:eastAsia="en-US"/>
        </w:rPr>
        <w:t xml:space="preserve"> mensilmente alle Camere le comunicazioni della Corte </w:t>
      </w:r>
      <w:r w:rsidR="00834720" w:rsidRPr="000E478A">
        <w:rPr>
          <w:rFonts w:ascii="Comic Sans MS" w:hAnsi="Comic Sans MS" w:cstheme="minorBidi"/>
          <w:sz w:val="22"/>
          <w:szCs w:val="24"/>
          <w:lang w:val="it-IT" w:eastAsia="en-US"/>
        </w:rPr>
        <w:t xml:space="preserve">indirizzate all'Autorità </w:t>
      </w:r>
      <w:r w:rsidR="009C28D5" w:rsidRPr="000E478A">
        <w:rPr>
          <w:rFonts w:ascii="Comic Sans MS" w:hAnsi="Comic Sans MS" w:cstheme="minorBidi"/>
          <w:sz w:val="22"/>
          <w:szCs w:val="24"/>
          <w:lang w:val="it-IT" w:eastAsia="en-US"/>
        </w:rPr>
        <w:t>italiana</w:t>
      </w:r>
      <w:r w:rsidR="00834720" w:rsidRPr="000E478A">
        <w:rPr>
          <w:rFonts w:ascii="Comic Sans MS" w:hAnsi="Comic Sans MS" w:cstheme="minorBidi"/>
          <w:sz w:val="22"/>
          <w:szCs w:val="24"/>
          <w:lang w:val="it-IT" w:eastAsia="en-US"/>
        </w:rPr>
        <w:t>,</w:t>
      </w:r>
      <w:r w:rsidR="009C28D5" w:rsidRPr="000E478A">
        <w:rPr>
          <w:rFonts w:ascii="Comic Sans MS" w:hAnsi="Comic Sans MS" w:cstheme="minorBidi"/>
          <w:sz w:val="22"/>
          <w:szCs w:val="24"/>
          <w:lang w:val="it-IT" w:eastAsia="en-US"/>
        </w:rPr>
        <w:t xml:space="preserve"> inerenti al passaggio in giudicato delle pronunce di cui all'art. 1, comma 1</w:t>
      </w:r>
      <w:r>
        <w:rPr>
          <w:rFonts w:ascii="Comic Sans MS" w:hAnsi="Comic Sans MS" w:cstheme="minorBidi"/>
          <w:sz w:val="22"/>
          <w:szCs w:val="24"/>
          <w:lang w:val="it-IT" w:eastAsia="en-US"/>
        </w:rPr>
        <w:t>°</w:t>
      </w:r>
      <w:r w:rsidR="009C28D5" w:rsidRPr="000E478A">
        <w:rPr>
          <w:rFonts w:ascii="Comic Sans MS" w:hAnsi="Comic Sans MS" w:cstheme="minorBidi"/>
          <w:sz w:val="22"/>
          <w:szCs w:val="24"/>
          <w:lang w:val="it-IT" w:eastAsia="en-US"/>
        </w:rPr>
        <w:t>, e ne inoltr</w:t>
      </w:r>
      <w:r>
        <w:rPr>
          <w:rFonts w:ascii="Comic Sans MS" w:hAnsi="Comic Sans MS" w:cstheme="minorBidi"/>
          <w:sz w:val="22"/>
          <w:szCs w:val="24"/>
          <w:lang w:val="it-IT" w:eastAsia="en-US"/>
        </w:rPr>
        <w:t>i</w:t>
      </w:r>
      <w:r w:rsidR="009C28D5" w:rsidRPr="000E478A">
        <w:rPr>
          <w:rFonts w:ascii="Comic Sans MS" w:hAnsi="Comic Sans MS" w:cstheme="minorBidi"/>
          <w:sz w:val="22"/>
          <w:szCs w:val="24"/>
          <w:lang w:val="it-IT" w:eastAsia="en-US"/>
        </w:rPr>
        <w:t xml:space="preserve"> la notizia dell'avvenuta pubbli</w:t>
      </w:r>
      <w:r w:rsidR="0068724A" w:rsidRPr="000E478A">
        <w:rPr>
          <w:rFonts w:ascii="Comic Sans MS" w:hAnsi="Comic Sans MS" w:cstheme="minorBidi"/>
          <w:sz w:val="22"/>
          <w:szCs w:val="24"/>
          <w:lang w:val="it-IT" w:eastAsia="en-US"/>
        </w:rPr>
        <w:t>cazione con il mezzo telematico</w:t>
      </w:r>
      <w:r w:rsidR="002A1648">
        <w:rPr>
          <w:rFonts w:ascii="Comic Sans MS" w:hAnsi="Comic Sans MS" w:cstheme="minorBidi"/>
          <w:sz w:val="22"/>
          <w:szCs w:val="24"/>
          <w:lang w:val="it-IT" w:eastAsia="en-US"/>
        </w:rPr>
        <w:t>, nonché</w:t>
      </w:r>
      <w:r w:rsidR="0068724A" w:rsidRPr="000E478A">
        <w:rPr>
          <w:rFonts w:ascii="Comic Sans MS" w:hAnsi="Comic Sans MS" w:cstheme="minorBidi"/>
          <w:sz w:val="22"/>
          <w:szCs w:val="24"/>
          <w:lang w:val="it-IT" w:eastAsia="en-US"/>
        </w:rPr>
        <w:t xml:space="preserve"> p</w:t>
      </w:r>
      <w:r w:rsidR="009C28D5" w:rsidRPr="000E478A">
        <w:rPr>
          <w:rFonts w:ascii="Comic Sans MS" w:hAnsi="Comic Sans MS" w:cstheme="minorBidi"/>
          <w:sz w:val="22"/>
          <w:szCs w:val="24"/>
          <w:lang w:val="it-IT" w:eastAsia="en-US"/>
        </w:rPr>
        <w:t>redispon</w:t>
      </w:r>
      <w:r w:rsidR="0068724A" w:rsidRPr="000E478A">
        <w:rPr>
          <w:rFonts w:ascii="Comic Sans MS" w:hAnsi="Comic Sans MS" w:cstheme="minorBidi"/>
          <w:sz w:val="22"/>
          <w:szCs w:val="24"/>
          <w:lang w:val="it-IT" w:eastAsia="en-US"/>
        </w:rPr>
        <w:t>ga l</w:t>
      </w:r>
      <w:r w:rsidR="009C28D5" w:rsidRPr="000E478A">
        <w:rPr>
          <w:rFonts w:ascii="Comic Sans MS" w:hAnsi="Comic Sans MS" w:cstheme="minorBidi"/>
          <w:sz w:val="22"/>
          <w:szCs w:val="24"/>
          <w:lang w:val="it-IT" w:eastAsia="en-US"/>
        </w:rPr>
        <w:t>a relazione</w:t>
      </w:r>
      <w:r w:rsidR="0068724A" w:rsidRPr="000E478A">
        <w:rPr>
          <w:rFonts w:ascii="Comic Sans MS" w:hAnsi="Comic Sans MS" w:cstheme="minorBidi"/>
          <w:sz w:val="22"/>
          <w:szCs w:val="24"/>
          <w:lang w:val="it-IT" w:eastAsia="en-US"/>
        </w:rPr>
        <w:t xml:space="preserve"> annuale</w:t>
      </w:r>
      <w:r w:rsidR="009C28D5" w:rsidRPr="000E478A">
        <w:rPr>
          <w:rFonts w:ascii="Comic Sans MS" w:hAnsi="Comic Sans MS" w:cstheme="minorBidi"/>
          <w:sz w:val="22"/>
          <w:szCs w:val="24"/>
          <w:lang w:val="it-IT" w:eastAsia="en-US"/>
        </w:rPr>
        <w:t xml:space="preserve"> al Parlamento</w:t>
      </w:r>
      <w:r w:rsidR="00BD789B">
        <w:rPr>
          <w:rFonts w:ascii="Comic Sans MS" w:hAnsi="Comic Sans MS" w:cstheme="minorBidi"/>
          <w:sz w:val="22"/>
          <w:szCs w:val="24"/>
          <w:lang w:val="it-IT" w:eastAsia="en-US"/>
        </w:rPr>
        <w:t xml:space="preserve"> -</w:t>
      </w:r>
      <w:r w:rsidR="009C28D5" w:rsidRPr="000E478A">
        <w:rPr>
          <w:rFonts w:ascii="Comic Sans MS" w:hAnsi="Comic Sans MS" w:cstheme="minorBidi"/>
          <w:sz w:val="22"/>
          <w:szCs w:val="24"/>
          <w:lang w:val="it-IT" w:eastAsia="en-US"/>
        </w:rPr>
        <w:t xml:space="preserve"> prevista dall</w:t>
      </w:r>
      <w:r w:rsidR="0068724A" w:rsidRPr="000E478A">
        <w:rPr>
          <w:rFonts w:ascii="Comic Sans MS" w:hAnsi="Comic Sans MS" w:cstheme="minorBidi"/>
          <w:sz w:val="22"/>
          <w:szCs w:val="24"/>
          <w:lang w:val="it-IT" w:eastAsia="en-US"/>
        </w:rPr>
        <w:t>a citata Legge Azzolini</w:t>
      </w:r>
      <w:r w:rsidR="00BD789B">
        <w:rPr>
          <w:rFonts w:ascii="Comic Sans MS" w:hAnsi="Comic Sans MS" w:cstheme="minorBidi"/>
          <w:sz w:val="22"/>
          <w:szCs w:val="24"/>
          <w:lang w:val="it-IT" w:eastAsia="en-US"/>
        </w:rPr>
        <w:t xml:space="preserve"> -</w:t>
      </w:r>
      <w:r w:rsidR="0068724A" w:rsidRPr="000E478A">
        <w:rPr>
          <w:rFonts w:ascii="Comic Sans MS" w:hAnsi="Comic Sans MS" w:cstheme="minorBidi"/>
          <w:sz w:val="22"/>
          <w:szCs w:val="24"/>
          <w:lang w:val="it-IT" w:eastAsia="en-US"/>
        </w:rPr>
        <w:t xml:space="preserve"> </w:t>
      </w:r>
      <w:r w:rsidR="009C28D5" w:rsidRPr="000E478A">
        <w:rPr>
          <w:rFonts w:ascii="Comic Sans MS" w:hAnsi="Comic Sans MS" w:cstheme="minorBidi"/>
          <w:sz w:val="22"/>
          <w:szCs w:val="24"/>
          <w:lang w:val="it-IT" w:eastAsia="en-US"/>
        </w:rPr>
        <w:t xml:space="preserve">sullo stato di esecuzione delle pronunce stesse, con l'indicazione delle eventuali iniziative ritenute </w:t>
      </w:r>
      <w:r w:rsidR="0068724A" w:rsidRPr="000E478A">
        <w:rPr>
          <w:rFonts w:ascii="Comic Sans MS" w:hAnsi="Comic Sans MS" w:cstheme="minorBidi"/>
          <w:sz w:val="22"/>
          <w:szCs w:val="24"/>
          <w:lang w:val="it-IT" w:eastAsia="en-US"/>
        </w:rPr>
        <w:t>efficaci per conformarsi alla gi</w:t>
      </w:r>
      <w:r w:rsidR="009C28D5" w:rsidRPr="000E478A">
        <w:rPr>
          <w:rFonts w:ascii="Comic Sans MS" w:hAnsi="Comic Sans MS" w:cstheme="minorBidi"/>
          <w:sz w:val="22"/>
          <w:szCs w:val="24"/>
          <w:lang w:val="it-IT" w:eastAsia="en-US"/>
        </w:rPr>
        <w:t xml:space="preserve">urisprudenza della Corte. </w:t>
      </w:r>
    </w:p>
    <w:p w:rsidR="008E4E22" w:rsidRPr="000E478A" w:rsidRDefault="002A1648" w:rsidP="009C28D5">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Si è in tal modo </w:t>
      </w:r>
      <w:r w:rsidR="00196660" w:rsidRPr="000E478A">
        <w:rPr>
          <w:rFonts w:ascii="Comic Sans MS" w:hAnsi="Comic Sans MS" w:cstheme="minorBidi"/>
          <w:sz w:val="22"/>
          <w:szCs w:val="24"/>
          <w:lang w:val="it-IT" w:eastAsia="en-US"/>
        </w:rPr>
        <w:t>creata una struttura altamente specializzata, destinata a occuparsi dell’attività deflattiva del contenzioso dinanzi alla Corte e a svolgere il coordinamento tra poteri e organi chiamati di volta in volta ad attivarsi dopo le pronunce CEDU.</w:t>
      </w:r>
    </w:p>
    <w:p w:rsidR="00EA37E5" w:rsidRDefault="00EA37E5" w:rsidP="009C28D5">
      <w:pPr>
        <w:pStyle w:val="NormalWeb"/>
        <w:spacing w:before="2" w:after="2"/>
        <w:jc w:val="both"/>
        <w:rPr>
          <w:rFonts w:ascii="Comic Sans MS" w:hAnsi="Comic Sans MS" w:cstheme="minorBidi"/>
          <w:sz w:val="22"/>
          <w:szCs w:val="24"/>
          <w:lang w:val="it-IT" w:eastAsia="en-US"/>
        </w:rPr>
      </w:pPr>
    </w:p>
    <w:p w:rsidR="00EA37E5" w:rsidRDefault="00300DBA" w:rsidP="009C28D5">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Si</w:t>
      </w:r>
      <w:r w:rsidR="002667DB">
        <w:rPr>
          <w:rFonts w:ascii="Comic Sans MS" w:hAnsi="Comic Sans MS" w:cstheme="minorBidi"/>
          <w:sz w:val="22"/>
          <w:szCs w:val="24"/>
          <w:lang w:val="it-IT" w:eastAsia="en-US"/>
        </w:rPr>
        <w:t xml:space="preserve"> rammenta che l’interlocuzione con la Corte europea e con il Comitato dei Ministri avviene esclusivamente tramite l’Agente del Governo italiano e i suoi co-agenti, incardinati funzionalmente nel Ministero degli Affari Esteri e della Cooperazione Internazionale.</w:t>
      </w:r>
    </w:p>
    <w:p w:rsidR="008E4E22" w:rsidRPr="000E478A" w:rsidRDefault="008E4E22" w:rsidP="009C28D5">
      <w:pPr>
        <w:pStyle w:val="NormalWeb"/>
        <w:spacing w:before="2" w:after="2"/>
        <w:jc w:val="both"/>
        <w:rPr>
          <w:rFonts w:ascii="Comic Sans MS" w:hAnsi="Comic Sans MS" w:cstheme="minorBidi"/>
          <w:sz w:val="22"/>
          <w:szCs w:val="24"/>
          <w:lang w:val="it-IT" w:eastAsia="en-US"/>
        </w:rPr>
      </w:pPr>
    </w:p>
    <w:p w:rsidR="005A3268" w:rsidRPr="000E478A" w:rsidRDefault="005A3268" w:rsidP="009C28D5">
      <w:pPr>
        <w:pStyle w:val="NormalWeb"/>
        <w:spacing w:before="2" w:after="2"/>
        <w:jc w:val="both"/>
        <w:rPr>
          <w:rFonts w:ascii="Comic Sans MS" w:hAnsi="Comic Sans MS" w:cstheme="minorBidi"/>
          <w:b/>
          <w:sz w:val="22"/>
          <w:szCs w:val="24"/>
          <w:lang w:val="it-IT" w:eastAsia="en-US"/>
        </w:rPr>
      </w:pPr>
      <w:r w:rsidRPr="000E478A">
        <w:rPr>
          <w:rFonts w:ascii="Comic Sans MS" w:hAnsi="Comic Sans MS" w:cstheme="minorBidi"/>
          <w:b/>
          <w:sz w:val="22"/>
          <w:szCs w:val="24"/>
          <w:lang w:val="it-IT" w:eastAsia="en-US"/>
        </w:rPr>
        <w:t>L’avvio del procedimento di esecuzione e il Piano di Azione.</w:t>
      </w:r>
    </w:p>
    <w:p w:rsidR="005A3268" w:rsidRPr="000E478A" w:rsidRDefault="005A3268" w:rsidP="009C28D5">
      <w:pPr>
        <w:pStyle w:val="NormalWeb"/>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L’esecuzione ha inizio dal momento in cui la sentenza della CEDU diviene definitiva.</w:t>
      </w:r>
    </w:p>
    <w:p w:rsidR="005A3268" w:rsidRPr="000E478A" w:rsidRDefault="005A3268" w:rsidP="009C28D5">
      <w:pPr>
        <w:pStyle w:val="NormalWeb"/>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Ai sensi dell’art. 44 della Convenzione, sono definitive:</w:t>
      </w:r>
    </w:p>
    <w:p w:rsidR="005A3268" w:rsidRPr="000E478A" w:rsidRDefault="005A3268" w:rsidP="005A3268">
      <w:pPr>
        <w:pStyle w:val="NormalWeb"/>
        <w:numPr>
          <w:ilvl w:val="0"/>
          <w:numId w:val="1"/>
        </w:numPr>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le sentenze rese dalla Grande Camera;</w:t>
      </w:r>
    </w:p>
    <w:p w:rsidR="005A3268" w:rsidRPr="000E478A" w:rsidRDefault="005A3268" w:rsidP="005A3268">
      <w:pPr>
        <w:pStyle w:val="NormalWeb"/>
        <w:numPr>
          <w:ilvl w:val="0"/>
          <w:numId w:val="1"/>
        </w:numPr>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le sentenze rese da una Camera, trascorsi tre mesi dalla pronuncia senza che le Parti abbiano chiesto il rinvio alla GC o nel caso in cui abbiano dichiarato che non chiederanno tale rinvio;</w:t>
      </w:r>
    </w:p>
    <w:p w:rsidR="005A3268" w:rsidRPr="000E478A" w:rsidRDefault="005A3268" w:rsidP="005A3268">
      <w:pPr>
        <w:pStyle w:val="NormalWeb"/>
        <w:numPr>
          <w:ilvl w:val="0"/>
          <w:numId w:val="1"/>
        </w:numPr>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le sentenze rese da una Camera, quando la GC abbia respinto la richiesta di rinvio.</w:t>
      </w:r>
    </w:p>
    <w:p w:rsidR="005A3268" w:rsidRPr="000E478A" w:rsidRDefault="005A3268" w:rsidP="005A3268">
      <w:pPr>
        <w:pStyle w:val="NormalWeb"/>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Va precisato che il rinvio alla Grande Camera non è un mezzo d’impugnazione, bensì uno strumento di carattere speciale, volto a garantire la coerenza della giurisprudenza della Corte in casi in cui la questione oggetto del ricorso abbia sollevato gravi problemi di interpretazione della Convenzione o dei suoi Protocolli o ponga un’importante questione di carattere generale. La richiesta di rinvio viene decisa da un Collegio composto da cinque giudici, che ne valuta l’ammissibilità e decide senza motivare il diniego.</w:t>
      </w:r>
    </w:p>
    <w:p w:rsidR="005A3268" w:rsidRPr="000E478A" w:rsidRDefault="005A3268" w:rsidP="005A3268">
      <w:pPr>
        <w:pStyle w:val="NormalWeb"/>
        <w:spacing w:before="2" w:after="2"/>
        <w:jc w:val="both"/>
        <w:rPr>
          <w:rFonts w:ascii="Comic Sans MS" w:hAnsi="Comic Sans MS" w:cstheme="minorBidi"/>
          <w:sz w:val="22"/>
          <w:szCs w:val="24"/>
          <w:lang w:val="it-IT" w:eastAsia="en-US"/>
        </w:rPr>
      </w:pPr>
    </w:p>
    <w:p w:rsidR="005A3268" w:rsidRPr="000E478A" w:rsidRDefault="005A3268" w:rsidP="005A3268">
      <w:pPr>
        <w:pStyle w:val="NormalWeb"/>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Lo Stato nei confronti del quale è stata accertata la violazione ha se</w:t>
      </w:r>
      <w:r w:rsidR="000E478A">
        <w:rPr>
          <w:rFonts w:ascii="Comic Sans MS" w:hAnsi="Comic Sans MS" w:cstheme="minorBidi"/>
          <w:sz w:val="22"/>
          <w:szCs w:val="24"/>
          <w:lang w:val="it-IT" w:eastAsia="en-US"/>
        </w:rPr>
        <w:t>i</w:t>
      </w:r>
      <w:r w:rsidRPr="000E478A">
        <w:rPr>
          <w:rFonts w:ascii="Comic Sans MS" w:hAnsi="Comic Sans MS" w:cstheme="minorBidi"/>
          <w:sz w:val="22"/>
          <w:szCs w:val="24"/>
          <w:lang w:val="it-IT" w:eastAsia="en-US"/>
        </w:rPr>
        <w:t xml:space="preserve"> mesi di tempo dalla data di definitività della sentenza per presentare un Piano di Azione, che indichi al Comitato dei Ministri le misure che il Governo intende adot</w:t>
      </w:r>
      <w:r w:rsidR="00721870" w:rsidRPr="000E478A">
        <w:rPr>
          <w:rFonts w:ascii="Comic Sans MS" w:hAnsi="Comic Sans MS" w:cstheme="minorBidi"/>
          <w:sz w:val="22"/>
          <w:szCs w:val="24"/>
          <w:lang w:val="it-IT" w:eastAsia="en-US"/>
        </w:rPr>
        <w:t>t</w:t>
      </w:r>
      <w:r w:rsidRPr="000E478A">
        <w:rPr>
          <w:rFonts w:ascii="Comic Sans MS" w:hAnsi="Comic Sans MS" w:cstheme="minorBidi"/>
          <w:sz w:val="22"/>
          <w:szCs w:val="24"/>
          <w:lang w:val="it-IT" w:eastAsia="en-US"/>
        </w:rPr>
        <w:t>are.</w:t>
      </w:r>
      <w:r w:rsidR="00F10672">
        <w:rPr>
          <w:rFonts w:ascii="Comic Sans MS" w:hAnsi="Comic Sans MS" w:cstheme="minorBidi"/>
          <w:sz w:val="22"/>
          <w:szCs w:val="24"/>
          <w:lang w:val="it-IT" w:eastAsia="en-US"/>
        </w:rPr>
        <w:t xml:space="preserve"> </w:t>
      </w:r>
      <w:r w:rsidR="00CF76CC" w:rsidRPr="000E478A">
        <w:rPr>
          <w:rFonts w:ascii="Comic Sans MS" w:hAnsi="Comic Sans MS" w:cstheme="minorBidi"/>
          <w:sz w:val="22"/>
          <w:szCs w:val="24"/>
          <w:lang w:val="it-IT" w:eastAsia="en-US"/>
        </w:rPr>
        <w:t>Oltre al pagamento della somma eventualmente liquidata a titolo di equa soddisfazione, il Piano di Azione può indicare altre misure individuali necessarie per porre fine alla violazione e anche misure generali per prevenire eventuali violazioni simili.</w:t>
      </w:r>
    </w:p>
    <w:p w:rsidR="00CF76CC" w:rsidRPr="000E478A" w:rsidRDefault="00CF76CC" w:rsidP="005A3268">
      <w:pPr>
        <w:pStyle w:val="NormalWeb"/>
        <w:spacing w:before="2" w:after="2"/>
        <w:jc w:val="both"/>
        <w:rPr>
          <w:rFonts w:ascii="Comic Sans MS" w:hAnsi="Comic Sans MS" w:cstheme="minorBidi"/>
          <w:sz w:val="22"/>
          <w:szCs w:val="24"/>
          <w:lang w:val="it-IT" w:eastAsia="en-US"/>
        </w:rPr>
      </w:pPr>
    </w:p>
    <w:p w:rsidR="008D6741" w:rsidRDefault="00F10672" w:rsidP="000E478A">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Come osservato in precedenza, le decisioni della Corte europea </w:t>
      </w:r>
      <w:r w:rsidR="008D6741">
        <w:rPr>
          <w:rFonts w:ascii="Comic Sans MS" w:hAnsi="Comic Sans MS"/>
          <w:sz w:val="22"/>
          <w:lang w:val="it-IT"/>
        </w:rPr>
        <w:t>hanno contenuti quanto mai diversi.</w:t>
      </w:r>
    </w:p>
    <w:p w:rsidR="000E478A" w:rsidRPr="000E478A" w:rsidRDefault="008D6741" w:rsidP="000E478A">
      <w:pPr>
        <w:widowControl w:val="0"/>
        <w:autoSpaceDE w:val="0"/>
        <w:autoSpaceDN w:val="0"/>
        <w:adjustRightInd w:val="0"/>
        <w:jc w:val="both"/>
        <w:rPr>
          <w:rFonts w:ascii="Comic Sans MS" w:hAnsi="Comic Sans MS"/>
          <w:sz w:val="22"/>
          <w:lang w:val="it-IT"/>
        </w:rPr>
      </w:pPr>
      <w:r>
        <w:rPr>
          <w:rFonts w:ascii="Comic Sans MS" w:hAnsi="Comic Sans MS"/>
          <w:sz w:val="22"/>
          <w:lang w:val="it-IT"/>
        </w:rPr>
        <w:t>In alcune decisioni</w:t>
      </w:r>
      <w:r w:rsidR="000E478A" w:rsidRPr="000E478A">
        <w:rPr>
          <w:rFonts w:ascii="Comic Sans MS" w:hAnsi="Comic Sans MS"/>
          <w:sz w:val="22"/>
          <w:lang w:val="it-IT"/>
        </w:rPr>
        <w:t xml:space="preserve"> viene </w:t>
      </w:r>
      <w:r>
        <w:rPr>
          <w:rFonts w:ascii="Comic Sans MS" w:hAnsi="Comic Sans MS"/>
          <w:sz w:val="22"/>
          <w:lang w:val="it-IT"/>
        </w:rPr>
        <w:t xml:space="preserve">semplicemente </w:t>
      </w:r>
      <w:r w:rsidR="000E478A" w:rsidRPr="000E478A">
        <w:rPr>
          <w:rFonts w:ascii="Comic Sans MS" w:hAnsi="Comic Sans MS"/>
          <w:sz w:val="22"/>
          <w:lang w:val="it-IT"/>
        </w:rPr>
        <w:t>accertata la violazione del diritto</w:t>
      </w:r>
      <w:r>
        <w:rPr>
          <w:rFonts w:ascii="Comic Sans MS" w:hAnsi="Comic Sans MS"/>
          <w:sz w:val="22"/>
          <w:lang w:val="it-IT"/>
        </w:rPr>
        <w:t xml:space="preserve"> garantito dalla Convenzione</w:t>
      </w:r>
      <w:r w:rsidR="000E478A" w:rsidRPr="000E478A">
        <w:rPr>
          <w:rFonts w:ascii="Comic Sans MS" w:hAnsi="Comic Sans MS"/>
          <w:sz w:val="22"/>
          <w:lang w:val="it-IT"/>
        </w:rPr>
        <w:t xml:space="preserve"> e i giudici europei ritengono che ciò sia sufficiente ai fini della riparazione</w:t>
      </w:r>
      <w:r>
        <w:rPr>
          <w:rFonts w:ascii="Comic Sans MS" w:hAnsi="Comic Sans MS"/>
          <w:sz w:val="22"/>
          <w:lang w:val="it-IT"/>
        </w:rPr>
        <w:t xml:space="preserve"> del danno</w:t>
      </w:r>
      <w:r w:rsidR="000E478A" w:rsidRPr="000E478A">
        <w:rPr>
          <w:rFonts w:ascii="Comic Sans MS" w:hAnsi="Comic Sans MS"/>
          <w:sz w:val="22"/>
          <w:lang w:val="it-IT"/>
        </w:rPr>
        <w:t>.</w:t>
      </w:r>
    </w:p>
    <w:p w:rsidR="000E478A" w:rsidRPr="000E478A" w:rsidRDefault="000E478A" w:rsidP="000E478A">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Vi sono, poi, i casi in cui, oltre ad accertare l’avvenuta violazione, la Corte liquida</w:t>
      </w:r>
      <w:r w:rsidR="008D6741">
        <w:rPr>
          <w:rFonts w:ascii="Comic Sans MS" w:hAnsi="Comic Sans MS"/>
          <w:sz w:val="22"/>
          <w:lang w:val="it-IT"/>
        </w:rPr>
        <w:t>,</w:t>
      </w:r>
      <w:r w:rsidRPr="000E478A">
        <w:rPr>
          <w:rFonts w:ascii="Comic Sans MS" w:hAnsi="Comic Sans MS"/>
          <w:sz w:val="22"/>
          <w:lang w:val="it-IT"/>
        </w:rPr>
        <w:t xml:space="preserve"> ai sensi dell’art. 41</w:t>
      </w:r>
      <w:r w:rsidR="008D6741">
        <w:rPr>
          <w:rFonts w:ascii="Comic Sans MS" w:hAnsi="Comic Sans MS"/>
          <w:sz w:val="22"/>
          <w:lang w:val="it-IT"/>
        </w:rPr>
        <w:t xml:space="preserve"> della Convenzione,</w:t>
      </w:r>
      <w:r w:rsidRPr="000E478A">
        <w:rPr>
          <w:rFonts w:ascii="Comic Sans MS" w:hAnsi="Comic Sans MS"/>
          <w:sz w:val="22"/>
          <w:lang w:val="it-IT"/>
        </w:rPr>
        <w:t xml:space="preserve"> l’equa soddisfazione.</w:t>
      </w:r>
    </w:p>
    <w:p w:rsidR="000E478A" w:rsidRPr="000E478A" w:rsidRDefault="000E478A" w:rsidP="000E478A">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Altre sentenze offrono invece una ricostruzione degli orientamenti in tema di articoli 41 e 46, identificando le cause strutturali o sistemiche di violazione e indicando a volte l</w:t>
      </w:r>
      <w:r w:rsidR="00263F4D">
        <w:rPr>
          <w:rFonts w:ascii="Comic Sans MS" w:hAnsi="Comic Sans MS"/>
          <w:sz w:val="22"/>
          <w:lang w:val="it-IT"/>
        </w:rPr>
        <w:t>e misure</w:t>
      </w:r>
      <w:r w:rsidRPr="000E478A">
        <w:rPr>
          <w:rFonts w:ascii="Comic Sans MS" w:hAnsi="Comic Sans MS"/>
          <w:sz w:val="22"/>
          <w:lang w:val="it-IT"/>
        </w:rPr>
        <w:t xml:space="preserve"> individual</w:t>
      </w:r>
      <w:r w:rsidR="00263F4D">
        <w:rPr>
          <w:rFonts w:ascii="Comic Sans MS" w:hAnsi="Comic Sans MS"/>
          <w:sz w:val="22"/>
          <w:lang w:val="it-IT"/>
        </w:rPr>
        <w:t xml:space="preserve">i e/o generali </w:t>
      </w:r>
      <w:r w:rsidRPr="000E478A">
        <w:rPr>
          <w:rFonts w:ascii="Comic Sans MS" w:hAnsi="Comic Sans MS"/>
          <w:sz w:val="22"/>
          <w:lang w:val="it-IT"/>
        </w:rPr>
        <w:t xml:space="preserve">da adottare. </w:t>
      </w:r>
    </w:p>
    <w:p w:rsidR="000E478A" w:rsidRPr="000E478A" w:rsidRDefault="000E478A" w:rsidP="000E478A">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Infine, vi sono le cd. sentenze pilota, ovvero quelle rese all’esito della procedura disciplinata dall’art. 61 del Regolamento della Corte, in cui - oltre alla puntuale indicazione delle cause strutturali della violazione e delle misure individuali e generali che lo Stato dovrà ad adottare per ottemperare agli obblighi di conformazione derivanti dall’art. 46 CEDU – viene s</w:t>
      </w:r>
      <w:r w:rsidR="00584510">
        <w:rPr>
          <w:rFonts w:ascii="Comic Sans MS" w:hAnsi="Comic Sans MS"/>
          <w:sz w:val="22"/>
          <w:lang w:val="it-IT"/>
        </w:rPr>
        <w:t>ovente</w:t>
      </w:r>
      <w:r w:rsidRPr="000E478A">
        <w:rPr>
          <w:rFonts w:ascii="Comic Sans MS" w:hAnsi="Comic Sans MS"/>
          <w:sz w:val="22"/>
          <w:lang w:val="it-IT"/>
        </w:rPr>
        <w:t xml:space="preserve"> disposta la sospensione dell’esame degli analoghi ricorsi già pendenti e la fissazione di un termine per la rimozione delle cause dalle quale dipendono le violazioni seriali.</w:t>
      </w:r>
    </w:p>
    <w:p w:rsidR="000E478A" w:rsidRPr="000E478A" w:rsidRDefault="000E478A" w:rsidP="005A3268">
      <w:pPr>
        <w:pStyle w:val="NormalWeb"/>
        <w:spacing w:before="2" w:after="2"/>
        <w:jc w:val="both"/>
        <w:rPr>
          <w:rFonts w:ascii="Comic Sans MS" w:hAnsi="Comic Sans MS" w:cstheme="minorBidi"/>
          <w:sz w:val="22"/>
          <w:szCs w:val="24"/>
          <w:lang w:val="it-IT" w:eastAsia="en-US"/>
        </w:rPr>
      </w:pPr>
    </w:p>
    <w:p w:rsidR="00584510" w:rsidRDefault="008D6741" w:rsidP="005A3268">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Ne consegue che </w:t>
      </w:r>
      <w:r w:rsidR="00CF76CC" w:rsidRPr="000E478A">
        <w:rPr>
          <w:rFonts w:ascii="Comic Sans MS" w:hAnsi="Comic Sans MS" w:cstheme="minorBidi"/>
          <w:sz w:val="22"/>
          <w:szCs w:val="24"/>
          <w:lang w:val="it-IT" w:eastAsia="en-US"/>
        </w:rPr>
        <w:t>le misure da indicare nel Piano di Azione</w:t>
      </w:r>
      <w:r>
        <w:rPr>
          <w:rFonts w:ascii="Comic Sans MS" w:hAnsi="Comic Sans MS" w:cstheme="minorBidi"/>
          <w:sz w:val="22"/>
          <w:szCs w:val="24"/>
          <w:lang w:val="it-IT" w:eastAsia="en-US"/>
        </w:rPr>
        <w:t xml:space="preserve"> </w:t>
      </w:r>
      <w:r w:rsidRPr="000E478A">
        <w:rPr>
          <w:rFonts w:ascii="Comic Sans MS" w:hAnsi="Comic Sans MS" w:cstheme="minorBidi"/>
          <w:sz w:val="22"/>
          <w:szCs w:val="24"/>
          <w:lang w:val="it-IT" w:eastAsia="en-US"/>
        </w:rPr>
        <w:t xml:space="preserve">per l’ottemperanza alla pronuncia CEDU </w:t>
      </w:r>
      <w:r>
        <w:rPr>
          <w:rFonts w:ascii="Comic Sans MS" w:hAnsi="Comic Sans MS" w:cstheme="minorBidi"/>
          <w:sz w:val="22"/>
          <w:szCs w:val="24"/>
          <w:lang w:val="it-IT" w:eastAsia="en-US"/>
        </w:rPr>
        <w:t>– presentato dall’Agente del Governo presso la Corte</w:t>
      </w:r>
      <w:r w:rsidR="00300DBA">
        <w:rPr>
          <w:rFonts w:ascii="Comic Sans MS" w:hAnsi="Comic Sans MS" w:cstheme="minorBidi"/>
          <w:sz w:val="22"/>
          <w:szCs w:val="24"/>
          <w:lang w:val="it-IT" w:eastAsia="en-US"/>
        </w:rPr>
        <w:t xml:space="preserve"> europea</w:t>
      </w:r>
      <w:r>
        <w:rPr>
          <w:rFonts w:ascii="Comic Sans MS" w:hAnsi="Comic Sans MS" w:cstheme="minorBidi"/>
          <w:sz w:val="22"/>
          <w:szCs w:val="24"/>
          <w:lang w:val="it-IT" w:eastAsia="en-US"/>
        </w:rPr>
        <w:t xml:space="preserve"> –</w:t>
      </w:r>
      <w:r w:rsidR="00CF76CC" w:rsidRPr="000E478A">
        <w:rPr>
          <w:rFonts w:ascii="Comic Sans MS" w:hAnsi="Comic Sans MS" w:cstheme="minorBidi"/>
          <w:sz w:val="22"/>
          <w:szCs w:val="24"/>
          <w:lang w:val="it-IT" w:eastAsia="en-US"/>
        </w:rPr>
        <w:t xml:space="preserve"> </w:t>
      </w:r>
      <w:r>
        <w:rPr>
          <w:rFonts w:ascii="Comic Sans MS" w:hAnsi="Comic Sans MS" w:cstheme="minorBidi"/>
          <w:sz w:val="22"/>
          <w:szCs w:val="24"/>
          <w:lang w:val="it-IT" w:eastAsia="en-US"/>
        </w:rPr>
        <w:t>dipendono strettamente dalla tipologia della decisione e dall</w:t>
      </w:r>
      <w:r w:rsidR="00584510">
        <w:rPr>
          <w:rFonts w:ascii="Comic Sans MS" w:hAnsi="Comic Sans MS" w:cstheme="minorBidi"/>
          <w:sz w:val="22"/>
          <w:szCs w:val="24"/>
          <w:lang w:val="it-IT" w:eastAsia="en-US"/>
        </w:rPr>
        <w:t>e misure che il Governo intende adottare nel caso specifico e a livello generale nell’ambito del margine di apprezzamento che gli viene riconosciuto.</w:t>
      </w:r>
    </w:p>
    <w:p w:rsidR="00D97B52" w:rsidRDefault="008D6741" w:rsidP="005A3268">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Partendo dalle ipotesi più elementari,</w:t>
      </w:r>
      <w:r w:rsidR="002445CA" w:rsidRPr="000E478A">
        <w:rPr>
          <w:rFonts w:ascii="Comic Sans MS" w:hAnsi="Comic Sans MS" w:cstheme="minorBidi"/>
          <w:sz w:val="22"/>
          <w:szCs w:val="24"/>
          <w:lang w:val="it-IT" w:eastAsia="en-US"/>
        </w:rPr>
        <w:t xml:space="preserve"> </w:t>
      </w:r>
      <w:r>
        <w:rPr>
          <w:rFonts w:ascii="Comic Sans MS" w:hAnsi="Comic Sans MS" w:cstheme="minorBidi"/>
          <w:sz w:val="22"/>
          <w:szCs w:val="24"/>
          <w:lang w:val="it-IT" w:eastAsia="en-US"/>
        </w:rPr>
        <w:t xml:space="preserve">si è detto che vi sono </w:t>
      </w:r>
      <w:r w:rsidR="002445CA" w:rsidRPr="000E478A">
        <w:rPr>
          <w:rFonts w:ascii="Comic Sans MS" w:hAnsi="Comic Sans MS" w:cstheme="minorBidi"/>
          <w:sz w:val="22"/>
          <w:szCs w:val="24"/>
          <w:lang w:val="it-IT" w:eastAsia="en-US"/>
        </w:rPr>
        <w:t>sentenze</w:t>
      </w:r>
      <w:r>
        <w:rPr>
          <w:rFonts w:ascii="Comic Sans MS" w:hAnsi="Comic Sans MS" w:cstheme="minorBidi"/>
          <w:sz w:val="22"/>
          <w:szCs w:val="24"/>
          <w:lang w:val="it-IT" w:eastAsia="en-US"/>
        </w:rPr>
        <w:t xml:space="preserve"> le quali</w:t>
      </w:r>
      <w:r w:rsidR="002445CA" w:rsidRPr="000E478A">
        <w:rPr>
          <w:rFonts w:ascii="Comic Sans MS" w:hAnsi="Comic Sans MS" w:cstheme="minorBidi"/>
          <w:sz w:val="22"/>
          <w:szCs w:val="24"/>
          <w:lang w:val="it-IT" w:eastAsia="en-US"/>
        </w:rPr>
        <w:t xml:space="preserve"> si limitano all’accertamento nel caso concreto della violazione</w:t>
      </w:r>
      <w:r>
        <w:rPr>
          <w:rFonts w:ascii="Comic Sans MS" w:hAnsi="Comic Sans MS" w:cstheme="minorBidi"/>
          <w:sz w:val="22"/>
          <w:szCs w:val="24"/>
          <w:lang w:val="it-IT" w:eastAsia="en-US"/>
        </w:rPr>
        <w:t xml:space="preserve">, </w:t>
      </w:r>
      <w:r w:rsidR="00D97B52">
        <w:rPr>
          <w:rFonts w:ascii="Comic Sans MS" w:hAnsi="Comic Sans MS" w:cstheme="minorBidi"/>
          <w:sz w:val="22"/>
          <w:szCs w:val="24"/>
          <w:lang w:val="it-IT" w:eastAsia="en-US"/>
        </w:rPr>
        <w:t>ritenendo che la constatazione della violazione costituisca ristoro morale sufficiente per il ricorrente.</w:t>
      </w:r>
    </w:p>
    <w:p w:rsidR="002445CA" w:rsidRPr="000E478A" w:rsidRDefault="00D97B52" w:rsidP="005A3268">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In altri casi, la dichiarazione di violazione della Convenzione non comporta la necessità di adottare </w:t>
      </w:r>
      <w:r w:rsidR="008D6741">
        <w:rPr>
          <w:rFonts w:ascii="Comic Sans MS" w:hAnsi="Comic Sans MS" w:cstheme="minorBidi"/>
          <w:sz w:val="22"/>
          <w:szCs w:val="24"/>
          <w:lang w:val="it-IT" w:eastAsia="en-US"/>
        </w:rPr>
        <w:t xml:space="preserve">misure individuali </w:t>
      </w:r>
      <w:r w:rsidR="007975C6">
        <w:rPr>
          <w:rFonts w:ascii="Comic Sans MS" w:hAnsi="Comic Sans MS" w:cstheme="minorBidi"/>
          <w:sz w:val="22"/>
          <w:szCs w:val="24"/>
          <w:lang w:val="it-IT" w:eastAsia="en-US"/>
        </w:rPr>
        <w:t xml:space="preserve">o generali </w:t>
      </w:r>
      <w:r w:rsidR="008D6741">
        <w:rPr>
          <w:rFonts w:ascii="Comic Sans MS" w:hAnsi="Comic Sans MS" w:cstheme="minorBidi"/>
          <w:sz w:val="22"/>
          <w:szCs w:val="24"/>
          <w:lang w:val="it-IT" w:eastAsia="en-US"/>
        </w:rPr>
        <w:t>ritenute idonee a ripristinare la situaz</w:t>
      </w:r>
      <w:r>
        <w:rPr>
          <w:rFonts w:ascii="Comic Sans MS" w:hAnsi="Comic Sans MS" w:cstheme="minorBidi"/>
          <w:sz w:val="22"/>
          <w:szCs w:val="24"/>
          <w:lang w:val="it-IT" w:eastAsia="en-US"/>
        </w:rPr>
        <w:t>ione anteriore alla violazione e può anche non esservi la</w:t>
      </w:r>
      <w:r w:rsidR="002445CA" w:rsidRPr="000E478A">
        <w:rPr>
          <w:rFonts w:ascii="Comic Sans MS" w:hAnsi="Comic Sans MS" w:cstheme="minorBidi"/>
          <w:sz w:val="22"/>
          <w:szCs w:val="24"/>
          <w:lang w:val="it-IT" w:eastAsia="en-US"/>
        </w:rPr>
        <w:t xml:space="preserve"> liquida</w:t>
      </w:r>
      <w:r>
        <w:rPr>
          <w:rFonts w:ascii="Comic Sans MS" w:hAnsi="Comic Sans MS" w:cstheme="minorBidi"/>
          <w:sz w:val="22"/>
          <w:szCs w:val="24"/>
          <w:lang w:val="it-IT" w:eastAsia="en-US"/>
        </w:rPr>
        <w:t>zione di</w:t>
      </w:r>
      <w:r w:rsidR="002445CA" w:rsidRPr="000E478A">
        <w:rPr>
          <w:rFonts w:ascii="Comic Sans MS" w:hAnsi="Comic Sans MS" w:cstheme="minorBidi"/>
          <w:sz w:val="22"/>
          <w:szCs w:val="24"/>
          <w:lang w:val="it-IT" w:eastAsia="en-US"/>
        </w:rPr>
        <w:t xml:space="preserve"> </w:t>
      </w:r>
      <w:r w:rsidR="008D6741">
        <w:rPr>
          <w:rFonts w:ascii="Comic Sans MS" w:hAnsi="Comic Sans MS" w:cstheme="minorBidi"/>
          <w:sz w:val="22"/>
          <w:szCs w:val="24"/>
          <w:lang w:val="it-IT" w:eastAsia="en-US"/>
        </w:rPr>
        <w:t>somme</w:t>
      </w:r>
      <w:r w:rsidR="002445CA" w:rsidRPr="000E478A">
        <w:rPr>
          <w:rFonts w:ascii="Comic Sans MS" w:hAnsi="Comic Sans MS" w:cstheme="minorBidi"/>
          <w:sz w:val="22"/>
          <w:szCs w:val="24"/>
          <w:lang w:val="it-IT" w:eastAsia="en-US"/>
        </w:rPr>
        <w:t xml:space="preserve"> a t</w:t>
      </w:r>
      <w:r w:rsidR="00300DBA">
        <w:rPr>
          <w:rFonts w:ascii="Comic Sans MS" w:hAnsi="Comic Sans MS" w:cstheme="minorBidi"/>
          <w:sz w:val="22"/>
          <w:szCs w:val="24"/>
          <w:lang w:val="it-IT" w:eastAsia="en-US"/>
        </w:rPr>
        <w:t>itolo di equa soddisfazione, poi</w:t>
      </w:r>
      <w:r w:rsidR="002445CA" w:rsidRPr="000E478A">
        <w:rPr>
          <w:rFonts w:ascii="Comic Sans MS" w:hAnsi="Comic Sans MS" w:cstheme="minorBidi"/>
          <w:sz w:val="22"/>
          <w:szCs w:val="24"/>
          <w:lang w:val="it-IT" w:eastAsia="en-US"/>
        </w:rPr>
        <w:t>ché non vi è stata istanza del ricorrente</w:t>
      </w:r>
      <w:r w:rsidR="008D6741">
        <w:rPr>
          <w:rFonts w:ascii="Comic Sans MS" w:hAnsi="Comic Sans MS" w:cstheme="minorBidi"/>
          <w:sz w:val="22"/>
          <w:szCs w:val="24"/>
          <w:lang w:val="it-IT" w:eastAsia="en-US"/>
        </w:rPr>
        <w:t>,</w:t>
      </w:r>
      <w:r w:rsidR="002445CA" w:rsidRPr="000E478A">
        <w:rPr>
          <w:rFonts w:ascii="Comic Sans MS" w:hAnsi="Comic Sans MS" w:cstheme="minorBidi"/>
          <w:sz w:val="22"/>
          <w:szCs w:val="24"/>
          <w:lang w:val="it-IT" w:eastAsia="en-US"/>
        </w:rPr>
        <w:t xml:space="preserve"> oppure la</w:t>
      </w:r>
      <w:r w:rsidR="00300DBA">
        <w:rPr>
          <w:rFonts w:ascii="Comic Sans MS" w:hAnsi="Comic Sans MS" w:cstheme="minorBidi"/>
          <w:sz w:val="22"/>
          <w:szCs w:val="24"/>
          <w:lang w:val="it-IT" w:eastAsia="en-US"/>
        </w:rPr>
        <w:t xml:space="preserve"> sua</w:t>
      </w:r>
      <w:r w:rsidR="002445CA" w:rsidRPr="000E478A">
        <w:rPr>
          <w:rFonts w:ascii="Comic Sans MS" w:hAnsi="Comic Sans MS" w:cstheme="minorBidi"/>
          <w:sz w:val="22"/>
          <w:szCs w:val="24"/>
          <w:lang w:val="it-IT" w:eastAsia="en-US"/>
        </w:rPr>
        <w:t xml:space="preserve"> richiesta non </w:t>
      </w:r>
      <w:r w:rsidR="008D6741">
        <w:rPr>
          <w:rFonts w:ascii="Comic Sans MS" w:hAnsi="Comic Sans MS" w:cstheme="minorBidi"/>
          <w:sz w:val="22"/>
          <w:szCs w:val="24"/>
          <w:lang w:val="it-IT" w:eastAsia="en-US"/>
        </w:rPr>
        <w:t xml:space="preserve">è </w:t>
      </w:r>
      <w:r w:rsidR="002445CA" w:rsidRPr="000E478A">
        <w:rPr>
          <w:rFonts w:ascii="Comic Sans MS" w:hAnsi="Comic Sans MS" w:cstheme="minorBidi"/>
          <w:sz w:val="22"/>
          <w:szCs w:val="24"/>
          <w:lang w:val="it-IT" w:eastAsia="en-US"/>
        </w:rPr>
        <w:t>stata</w:t>
      </w:r>
      <w:r w:rsidR="008D6741">
        <w:rPr>
          <w:rFonts w:ascii="Comic Sans MS" w:hAnsi="Comic Sans MS" w:cstheme="minorBidi"/>
          <w:sz w:val="22"/>
          <w:szCs w:val="24"/>
          <w:lang w:val="it-IT" w:eastAsia="en-US"/>
        </w:rPr>
        <w:t xml:space="preserve"> adeguatamente</w:t>
      </w:r>
      <w:r w:rsidR="002445CA" w:rsidRPr="000E478A">
        <w:rPr>
          <w:rFonts w:ascii="Comic Sans MS" w:hAnsi="Comic Sans MS" w:cstheme="minorBidi"/>
          <w:sz w:val="22"/>
          <w:szCs w:val="24"/>
          <w:lang w:val="it-IT" w:eastAsia="en-US"/>
        </w:rPr>
        <w:t xml:space="preserve"> documentata.</w:t>
      </w:r>
    </w:p>
    <w:p w:rsidR="005B4618" w:rsidRPr="000E478A" w:rsidRDefault="00D97B52" w:rsidP="005A3268">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Nelle citate</w:t>
      </w:r>
      <w:r w:rsidR="008D6741">
        <w:rPr>
          <w:rFonts w:ascii="Comic Sans MS" w:hAnsi="Comic Sans MS" w:cstheme="minorBidi"/>
          <w:sz w:val="22"/>
          <w:szCs w:val="24"/>
          <w:lang w:val="it-IT" w:eastAsia="en-US"/>
        </w:rPr>
        <w:t xml:space="preserve"> ipote</w:t>
      </w:r>
      <w:r w:rsidR="002445CA" w:rsidRPr="000E478A">
        <w:rPr>
          <w:rFonts w:ascii="Comic Sans MS" w:hAnsi="Comic Sans MS" w:cstheme="minorBidi"/>
          <w:sz w:val="22"/>
          <w:szCs w:val="24"/>
          <w:lang w:val="it-IT" w:eastAsia="en-US"/>
        </w:rPr>
        <w:t xml:space="preserve">si, </w:t>
      </w:r>
      <w:r w:rsidR="008D6741">
        <w:rPr>
          <w:rFonts w:ascii="Comic Sans MS" w:hAnsi="Comic Sans MS" w:cstheme="minorBidi"/>
          <w:sz w:val="22"/>
          <w:szCs w:val="24"/>
          <w:lang w:val="it-IT" w:eastAsia="en-US"/>
        </w:rPr>
        <w:t>si ritiene</w:t>
      </w:r>
      <w:r w:rsidR="002445CA" w:rsidRPr="000E478A">
        <w:rPr>
          <w:rFonts w:ascii="Comic Sans MS" w:hAnsi="Comic Sans MS" w:cstheme="minorBidi"/>
          <w:sz w:val="22"/>
          <w:szCs w:val="24"/>
          <w:lang w:val="it-IT" w:eastAsia="en-US"/>
        </w:rPr>
        <w:t xml:space="preserve"> sufficiente</w:t>
      </w:r>
      <w:r w:rsidR="008D6741">
        <w:rPr>
          <w:rFonts w:ascii="Comic Sans MS" w:hAnsi="Comic Sans MS" w:cstheme="minorBidi"/>
          <w:sz w:val="22"/>
          <w:szCs w:val="24"/>
          <w:lang w:val="it-IT" w:eastAsia="en-US"/>
        </w:rPr>
        <w:t xml:space="preserve"> per ottemperare al disposto della CEDU</w:t>
      </w:r>
      <w:r w:rsidR="002445CA" w:rsidRPr="000E478A">
        <w:rPr>
          <w:rFonts w:ascii="Comic Sans MS" w:hAnsi="Comic Sans MS" w:cstheme="minorBidi"/>
          <w:sz w:val="22"/>
          <w:szCs w:val="24"/>
          <w:lang w:val="it-IT" w:eastAsia="en-US"/>
        </w:rPr>
        <w:t xml:space="preserve"> l’adozione di una </w:t>
      </w:r>
      <w:r w:rsidR="002445CA" w:rsidRPr="000E478A">
        <w:rPr>
          <w:rFonts w:ascii="Comic Sans MS" w:hAnsi="Comic Sans MS" w:cstheme="minorBidi"/>
          <w:sz w:val="22"/>
          <w:szCs w:val="24"/>
          <w:u w:val="single"/>
          <w:lang w:val="it-IT" w:eastAsia="en-US"/>
        </w:rPr>
        <w:t>misura generale come la pubblicazione della sentenza,</w:t>
      </w:r>
      <w:r w:rsidR="002445CA" w:rsidRPr="000E478A">
        <w:rPr>
          <w:rFonts w:ascii="Comic Sans MS" w:hAnsi="Comic Sans MS" w:cstheme="minorBidi"/>
          <w:sz w:val="22"/>
          <w:szCs w:val="24"/>
          <w:lang w:val="it-IT" w:eastAsia="en-US"/>
        </w:rPr>
        <w:t xml:space="preserve"> che in Italia viene effettuata attraverso il Ced della Corte di Cassazione e sul sito</w:t>
      </w:r>
      <w:r w:rsidR="00981810">
        <w:rPr>
          <w:rFonts w:ascii="Comic Sans MS" w:hAnsi="Comic Sans MS" w:cstheme="minorBidi"/>
          <w:sz w:val="22"/>
          <w:szCs w:val="24"/>
          <w:lang w:val="it-IT" w:eastAsia="en-US"/>
        </w:rPr>
        <w:t xml:space="preserve"> web</w:t>
      </w:r>
      <w:r w:rsidR="002445CA" w:rsidRPr="000E478A">
        <w:rPr>
          <w:rFonts w:ascii="Comic Sans MS" w:hAnsi="Comic Sans MS" w:cstheme="minorBidi"/>
          <w:sz w:val="22"/>
          <w:szCs w:val="24"/>
          <w:lang w:val="it-IT" w:eastAsia="en-US"/>
        </w:rPr>
        <w:t xml:space="preserve"> del Ministero della Giustizia</w:t>
      </w:r>
      <w:r w:rsidR="00926A9F" w:rsidRPr="000E478A">
        <w:rPr>
          <w:rStyle w:val="Refdenotaalpie"/>
          <w:rFonts w:ascii="Comic Sans MS" w:hAnsi="Comic Sans MS" w:cstheme="minorBidi"/>
          <w:sz w:val="22"/>
          <w:szCs w:val="24"/>
          <w:lang w:val="it-IT" w:eastAsia="en-US"/>
        </w:rPr>
        <w:footnoteReference w:id="1"/>
      </w:r>
      <w:r w:rsidR="002445CA" w:rsidRPr="000E478A">
        <w:rPr>
          <w:rFonts w:ascii="Comic Sans MS" w:hAnsi="Comic Sans MS" w:cstheme="minorBidi"/>
          <w:sz w:val="22"/>
          <w:szCs w:val="24"/>
          <w:lang w:val="it-IT" w:eastAsia="en-US"/>
        </w:rPr>
        <w:t>. Anche la relazione annuale al Parlamento predisposta dalla PdC risponde</w:t>
      </w:r>
      <w:r w:rsidR="008D6741">
        <w:rPr>
          <w:rFonts w:ascii="Comic Sans MS" w:hAnsi="Comic Sans MS" w:cstheme="minorBidi"/>
          <w:sz w:val="22"/>
          <w:szCs w:val="24"/>
          <w:lang w:val="it-IT" w:eastAsia="en-US"/>
        </w:rPr>
        <w:t>, peraltro,</w:t>
      </w:r>
      <w:r w:rsidR="002445CA" w:rsidRPr="000E478A">
        <w:rPr>
          <w:rFonts w:ascii="Comic Sans MS" w:hAnsi="Comic Sans MS" w:cstheme="minorBidi"/>
          <w:sz w:val="22"/>
          <w:szCs w:val="24"/>
          <w:lang w:val="it-IT" w:eastAsia="en-US"/>
        </w:rPr>
        <w:t xml:space="preserve"> a tale esigenza di conoscenza e conoscibilità delle pronunce CEDU</w:t>
      </w:r>
      <w:r w:rsidR="005B4618" w:rsidRPr="000E478A">
        <w:rPr>
          <w:rFonts w:ascii="Comic Sans MS" w:hAnsi="Comic Sans MS" w:cstheme="minorBidi"/>
          <w:sz w:val="22"/>
          <w:szCs w:val="24"/>
          <w:lang w:val="it-IT" w:eastAsia="en-US"/>
        </w:rPr>
        <w:t>.</w:t>
      </w:r>
    </w:p>
    <w:p w:rsidR="00A97FC4" w:rsidRPr="000E478A" w:rsidRDefault="005B4618" w:rsidP="005A3268">
      <w:pPr>
        <w:pStyle w:val="NormalWeb"/>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In alcuni casi, quando risultano coinvolti organi giu</w:t>
      </w:r>
      <w:r w:rsidR="009C4692" w:rsidRPr="000E478A">
        <w:rPr>
          <w:rFonts w:ascii="Comic Sans MS" w:hAnsi="Comic Sans MS" w:cstheme="minorBidi"/>
          <w:sz w:val="22"/>
          <w:szCs w:val="24"/>
          <w:lang w:val="it-IT" w:eastAsia="en-US"/>
        </w:rPr>
        <w:t>risdizionali</w:t>
      </w:r>
      <w:r w:rsidRPr="000E478A">
        <w:rPr>
          <w:rFonts w:ascii="Comic Sans MS" w:hAnsi="Comic Sans MS" w:cstheme="minorBidi"/>
          <w:sz w:val="22"/>
          <w:szCs w:val="24"/>
          <w:lang w:val="it-IT" w:eastAsia="en-US"/>
        </w:rPr>
        <w:t>, viene inviata dal Ministero della Giustizia una nota ai Capi degli Uffici Giudiziari</w:t>
      </w:r>
      <w:r w:rsidR="009C4692" w:rsidRPr="000E478A">
        <w:rPr>
          <w:rFonts w:ascii="Comic Sans MS" w:hAnsi="Comic Sans MS" w:cstheme="minorBidi"/>
          <w:sz w:val="22"/>
          <w:szCs w:val="24"/>
          <w:lang w:val="it-IT" w:eastAsia="en-US"/>
        </w:rPr>
        <w:t>,</w:t>
      </w:r>
      <w:r w:rsidRPr="000E478A">
        <w:rPr>
          <w:rFonts w:ascii="Comic Sans MS" w:hAnsi="Comic Sans MS" w:cstheme="minorBidi"/>
          <w:sz w:val="22"/>
          <w:szCs w:val="24"/>
          <w:lang w:val="it-IT" w:eastAsia="en-US"/>
        </w:rPr>
        <w:t xml:space="preserve"> con indicazioni sulla diffusione della sentenza a tutti i magistrati.</w:t>
      </w:r>
    </w:p>
    <w:p w:rsidR="005B4618" w:rsidRPr="000E478A" w:rsidRDefault="007975C6" w:rsidP="005A3268">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Ad esempio, n</w:t>
      </w:r>
      <w:r w:rsidR="00A97FC4" w:rsidRPr="000E478A">
        <w:rPr>
          <w:rFonts w:ascii="Comic Sans MS" w:hAnsi="Comic Sans MS" w:cstheme="minorBidi"/>
          <w:sz w:val="22"/>
          <w:szCs w:val="24"/>
          <w:lang w:val="it-IT" w:eastAsia="en-US"/>
        </w:rPr>
        <w:t xml:space="preserve">el caso </w:t>
      </w:r>
      <w:r w:rsidR="00A97FC4" w:rsidRPr="000E478A">
        <w:rPr>
          <w:rFonts w:ascii="Comic Sans MS" w:hAnsi="Comic Sans MS" w:cstheme="minorBidi"/>
          <w:i/>
          <w:sz w:val="22"/>
          <w:szCs w:val="24"/>
          <w:lang w:val="it-IT" w:eastAsia="en-US"/>
        </w:rPr>
        <w:t>Anghel c/ Italia</w:t>
      </w:r>
      <w:r w:rsidR="00A97FC4" w:rsidRPr="000E478A">
        <w:rPr>
          <w:rFonts w:ascii="Comic Sans MS" w:hAnsi="Comic Sans MS" w:cstheme="minorBidi"/>
          <w:sz w:val="22"/>
          <w:szCs w:val="24"/>
          <w:lang w:val="it-IT" w:eastAsia="en-US"/>
        </w:rPr>
        <w:t xml:space="preserve"> del 25.6.2013 il contenuto della sentenza è stato diffuso sia presso l’Autorità centrale competente in materia di rogatorie internazionali in mater</w:t>
      </w:r>
      <w:r w:rsidR="004652AF" w:rsidRPr="000E478A">
        <w:rPr>
          <w:rFonts w:ascii="Comic Sans MS" w:hAnsi="Comic Sans MS" w:cstheme="minorBidi"/>
          <w:sz w:val="22"/>
          <w:szCs w:val="24"/>
          <w:lang w:val="it-IT" w:eastAsia="en-US"/>
        </w:rPr>
        <w:t>ia civile che ai Consigli dell’O</w:t>
      </w:r>
      <w:r w:rsidR="00A97FC4" w:rsidRPr="000E478A">
        <w:rPr>
          <w:rFonts w:ascii="Comic Sans MS" w:hAnsi="Comic Sans MS" w:cstheme="minorBidi"/>
          <w:sz w:val="22"/>
          <w:szCs w:val="24"/>
          <w:lang w:val="it-IT" w:eastAsia="en-US"/>
        </w:rPr>
        <w:t>rdine, con una nota a cura del Ministero della Giustizia che evidenziava le inefficienze rilevate dalla Corte</w:t>
      </w:r>
      <w:r w:rsidR="00230868">
        <w:rPr>
          <w:rFonts w:ascii="Comic Sans MS" w:hAnsi="Comic Sans MS" w:cstheme="minorBidi"/>
          <w:sz w:val="22"/>
          <w:szCs w:val="24"/>
          <w:lang w:val="it-IT" w:eastAsia="en-US"/>
        </w:rPr>
        <w:t xml:space="preserve"> europea</w:t>
      </w:r>
      <w:r w:rsidR="00A97FC4" w:rsidRPr="000E478A">
        <w:rPr>
          <w:rFonts w:ascii="Comic Sans MS" w:hAnsi="Comic Sans MS" w:cstheme="minorBidi"/>
          <w:sz w:val="22"/>
          <w:szCs w:val="24"/>
          <w:lang w:val="it-IT" w:eastAsia="en-US"/>
        </w:rPr>
        <w:t xml:space="preserve"> nel caso concreto</w:t>
      </w:r>
      <w:r w:rsidR="00196F3B" w:rsidRPr="000E478A">
        <w:rPr>
          <w:rStyle w:val="Refdenotaalpie"/>
          <w:rFonts w:ascii="Comic Sans MS" w:hAnsi="Comic Sans MS" w:cstheme="minorBidi"/>
          <w:sz w:val="22"/>
          <w:szCs w:val="24"/>
          <w:lang w:val="it-IT" w:eastAsia="en-US"/>
        </w:rPr>
        <w:footnoteReference w:id="2"/>
      </w:r>
      <w:r w:rsidR="00A97FC4" w:rsidRPr="000E478A">
        <w:rPr>
          <w:rFonts w:ascii="Comic Sans MS" w:hAnsi="Comic Sans MS" w:cstheme="minorBidi"/>
          <w:sz w:val="22"/>
          <w:szCs w:val="24"/>
          <w:lang w:val="it-IT" w:eastAsia="en-US"/>
        </w:rPr>
        <w:t>.</w:t>
      </w:r>
    </w:p>
    <w:p w:rsidR="00230868" w:rsidRDefault="00230868" w:rsidP="005A3268">
      <w:pPr>
        <w:pStyle w:val="NormalWeb"/>
        <w:spacing w:before="2" w:after="2"/>
        <w:jc w:val="both"/>
        <w:rPr>
          <w:rFonts w:ascii="Comic Sans MS" w:hAnsi="Comic Sans MS" w:cstheme="minorBidi"/>
          <w:sz w:val="22"/>
          <w:szCs w:val="24"/>
          <w:lang w:val="it-IT" w:eastAsia="en-US"/>
        </w:rPr>
      </w:pPr>
    </w:p>
    <w:p w:rsidR="00A97FC4" w:rsidRPr="000E478A" w:rsidRDefault="00A97FC4" w:rsidP="005A3268">
      <w:pPr>
        <w:pStyle w:val="NormalWeb"/>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 xml:space="preserve">In altre ipotesi, dalla decisione CEDU </w:t>
      </w:r>
      <w:r w:rsidR="009813F9">
        <w:rPr>
          <w:rFonts w:ascii="Comic Sans MS" w:hAnsi="Comic Sans MS" w:cstheme="minorBidi"/>
          <w:sz w:val="22"/>
          <w:szCs w:val="24"/>
          <w:lang w:val="it-IT" w:eastAsia="en-US"/>
        </w:rPr>
        <w:t xml:space="preserve">che accerta la violazione della Convenzione </w:t>
      </w:r>
      <w:r w:rsidRPr="000E478A">
        <w:rPr>
          <w:rFonts w:ascii="Comic Sans MS" w:hAnsi="Comic Sans MS" w:cstheme="minorBidi"/>
          <w:sz w:val="22"/>
          <w:szCs w:val="24"/>
          <w:lang w:val="it-IT" w:eastAsia="en-US"/>
        </w:rPr>
        <w:t xml:space="preserve">discende solo </w:t>
      </w:r>
      <w:r w:rsidR="009813F9">
        <w:rPr>
          <w:rFonts w:ascii="Comic Sans MS" w:hAnsi="Comic Sans MS" w:cstheme="minorBidi"/>
          <w:sz w:val="22"/>
          <w:szCs w:val="24"/>
          <w:lang w:val="it-IT" w:eastAsia="en-US"/>
        </w:rPr>
        <w:t>l’</w:t>
      </w:r>
      <w:r w:rsidRPr="000E478A">
        <w:rPr>
          <w:rFonts w:ascii="Comic Sans MS" w:hAnsi="Comic Sans MS" w:cstheme="minorBidi"/>
          <w:sz w:val="22"/>
          <w:szCs w:val="24"/>
          <w:u w:val="single"/>
          <w:lang w:val="it-IT" w:eastAsia="en-US"/>
        </w:rPr>
        <w:t>obbligo di corrispondere la somma liquidata dalla Corte ex art. 41 della Convenzione</w:t>
      </w:r>
      <w:r w:rsidRPr="000E478A">
        <w:rPr>
          <w:rFonts w:ascii="Comic Sans MS" w:hAnsi="Comic Sans MS" w:cstheme="minorBidi"/>
          <w:sz w:val="22"/>
          <w:szCs w:val="24"/>
          <w:lang w:val="it-IT" w:eastAsia="en-US"/>
        </w:rPr>
        <w:t>.</w:t>
      </w:r>
    </w:p>
    <w:p w:rsidR="00A97FC4" w:rsidRPr="000E478A" w:rsidRDefault="00A97FC4" w:rsidP="005A3268">
      <w:pPr>
        <w:pStyle w:val="NormalWeb"/>
        <w:spacing w:before="2" w:after="2"/>
        <w:jc w:val="both"/>
        <w:rPr>
          <w:rFonts w:ascii="Comic Sans MS" w:hAnsi="Comic Sans MS" w:cstheme="minorBidi"/>
          <w:sz w:val="22"/>
          <w:szCs w:val="24"/>
          <w:lang w:val="it-IT" w:eastAsia="en-US"/>
        </w:rPr>
      </w:pPr>
      <w:r w:rsidRPr="000E478A">
        <w:rPr>
          <w:rFonts w:ascii="Comic Sans MS" w:hAnsi="Comic Sans MS" w:cstheme="minorBidi"/>
          <w:sz w:val="22"/>
          <w:szCs w:val="24"/>
          <w:lang w:val="it-IT" w:eastAsia="en-US"/>
        </w:rPr>
        <w:t xml:space="preserve">Si tratta di </w:t>
      </w:r>
      <w:r w:rsidR="00AE6AB5" w:rsidRPr="000E478A">
        <w:rPr>
          <w:rFonts w:ascii="Comic Sans MS" w:hAnsi="Comic Sans MS" w:cstheme="minorBidi"/>
          <w:sz w:val="22"/>
          <w:szCs w:val="24"/>
          <w:lang w:val="it-IT" w:eastAsia="en-US"/>
        </w:rPr>
        <w:t>casi</w:t>
      </w:r>
      <w:r w:rsidRPr="000E478A">
        <w:rPr>
          <w:rFonts w:ascii="Comic Sans MS" w:hAnsi="Comic Sans MS" w:cstheme="minorBidi"/>
          <w:sz w:val="22"/>
          <w:szCs w:val="24"/>
          <w:lang w:val="it-IT" w:eastAsia="en-US"/>
        </w:rPr>
        <w:t xml:space="preserve"> in cui il fatto che ha dato luogo alla violazione è stato superato dagli eventi o da un intervento giudiziario</w:t>
      </w:r>
      <w:r w:rsidR="009813F9">
        <w:rPr>
          <w:rFonts w:ascii="Comic Sans MS" w:hAnsi="Comic Sans MS" w:cstheme="minorBidi"/>
          <w:sz w:val="22"/>
          <w:szCs w:val="24"/>
          <w:lang w:val="it-IT" w:eastAsia="en-US"/>
        </w:rPr>
        <w:t>,</w:t>
      </w:r>
      <w:r w:rsidRPr="000E478A">
        <w:rPr>
          <w:rFonts w:ascii="Comic Sans MS" w:hAnsi="Comic Sans MS" w:cstheme="minorBidi"/>
          <w:sz w:val="22"/>
          <w:szCs w:val="24"/>
          <w:lang w:val="it-IT" w:eastAsia="en-US"/>
        </w:rPr>
        <w:t xml:space="preserve"> o normativo</w:t>
      </w:r>
      <w:r w:rsidR="009813F9">
        <w:rPr>
          <w:rFonts w:ascii="Comic Sans MS" w:hAnsi="Comic Sans MS" w:cstheme="minorBidi"/>
          <w:sz w:val="22"/>
          <w:szCs w:val="24"/>
          <w:lang w:val="it-IT" w:eastAsia="en-US"/>
        </w:rPr>
        <w:t>,</w:t>
      </w:r>
      <w:r w:rsidRPr="000E478A">
        <w:rPr>
          <w:rFonts w:ascii="Comic Sans MS" w:hAnsi="Comic Sans MS" w:cstheme="minorBidi"/>
          <w:sz w:val="22"/>
          <w:szCs w:val="24"/>
          <w:lang w:val="it-IT" w:eastAsia="en-US"/>
        </w:rPr>
        <w:t xml:space="preserve"> che ha </w:t>
      </w:r>
      <w:r w:rsidR="00263F4D">
        <w:rPr>
          <w:rFonts w:ascii="Comic Sans MS" w:hAnsi="Comic Sans MS" w:cstheme="minorBidi"/>
          <w:sz w:val="22"/>
          <w:szCs w:val="24"/>
          <w:lang w:val="it-IT" w:eastAsia="en-US"/>
        </w:rPr>
        <w:t>eliminato</w:t>
      </w:r>
      <w:r w:rsidRPr="000E478A">
        <w:rPr>
          <w:rFonts w:ascii="Comic Sans MS" w:hAnsi="Comic Sans MS" w:cstheme="minorBidi"/>
          <w:sz w:val="22"/>
          <w:szCs w:val="24"/>
          <w:lang w:val="it-IT" w:eastAsia="en-US"/>
        </w:rPr>
        <w:t xml:space="preserve"> la causa</w:t>
      </w:r>
      <w:r w:rsidR="00263F4D">
        <w:rPr>
          <w:rFonts w:ascii="Comic Sans MS" w:hAnsi="Comic Sans MS" w:cstheme="minorBidi"/>
          <w:sz w:val="22"/>
          <w:szCs w:val="24"/>
          <w:lang w:val="it-IT" w:eastAsia="en-US"/>
        </w:rPr>
        <w:t xml:space="preserve"> della violazione</w:t>
      </w:r>
      <w:r w:rsidRPr="000E478A">
        <w:rPr>
          <w:rFonts w:ascii="Comic Sans MS" w:hAnsi="Comic Sans MS" w:cstheme="minorBidi"/>
          <w:sz w:val="22"/>
          <w:szCs w:val="24"/>
          <w:lang w:val="it-IT" w:eastAsia="en-US"/>
        </w:rPr>
        <w:t>, per cui non è necessaria l’adozione di misure individuali o generali.</w:t>
      </w:r>
    </w:p>
    <w:p w:rsidR="006E0338" w:rsidRPr="000E478A" w:rsidRDefault="00AE6AB5" w:rsidP="006E0338">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Si veda in proposito la sentenza</w:t>
      </w:r>
      <w:r w:rsidR="00AE37E1" w:rsidRPr="000E478A">
        <w:rPr>
          <w:rFonts w:ascii="Comic Sans MS" w:hAnsi="Comic Sans MS"/>
          <w:sz w:val="22"/>
          <w:lang w:val="it-IT"/>
        </w:rPr>
        <w:t xml:space="preserve"> </w:t>
      </w:r>
      <w:r w:rsidR="00AE37E1" w:rsidRPr="000E478A">
        <w:rPr>
          <w:rFonts w:ascii="Comic Sans MS" w:hAnsi="Comic Sans MS"/>
          <w:i/>
          <w:sz w:val="22"/>
          <w:lang w:val="it-IT"/>
        </w:rPr>
        <w:t>O</w:t>
      </w:r>
      <w:r w:rsidR="00A97FC4" w:rsidRPr="000E478A">
        <w:rPr>
          <w:rFonts w:ascii="Comic Sans MS" w:hAnsi="Comic Sans MS"/>
          <w:i/>
          <w:sz w:val="22"/>
          <w:lang w:val="it-IT"/>
        </w:rPr>
        <w:t>rland</w:t>
      </w:r>
      <w:r w:rsidR="00AE37E1" w:rsidRPr="000E478A">
        <w:rPr>
          <w:rFonts w:ascii="Comic Sans MS" w:hAnsi="Comic Sans MS"/>
          <w:i/>
          <w:sz w:val="22"/>
          <w:lang w:val="it-IT"/>
        </w:rPr>
        <w:t>i</w:t>
      </w:r>
      <w:r w:rsidR="00A40A91" w:rsidRPr="000E478A">
        <w:rPr>
          <w:rFonts w:ascii="Comic Sans MS" w:hAnsi="Comic Sans MS"/>
          <w:i/>
          <w:sz w:val="22"/>
          <w:lang w:val="it-IT"/>
        </w:rPr>
        <w:t xml:space="preserve"> e altri</w:t>
      </w:r>
      <w:r w:rsidR="00AE37E1" w:rsidRPr="000E478A">
        <w:rPr>
          <w:rFonts w:ascii="Comic Sans MS" w:hAnsi="Comic Sans MS"/>
          <w:i/>
          <w:sz w:val="22"/>
          <w:lang w:val="it-IT"/>
        </w:rPr>
        <w:t xml:space="preserve"> c/ Italia</w:t>
      </w:r>
      <w:r w:rsidR="00A40A91" w:rsidRPr="000E478A">
        <w:rPr>
          <w:rFonts w:ascii="Comic Sans MS" w:hAnsi="Comic Sans MS"/>
          <w:sz w:val="22"/>
          <w:lang w:val="it-IT"/>
        </w:rPr>
        <w:t xml:space="preserve"> del 14.12.2017</w:t>
      </w:r>
      <w:r w:rsidR="006E0338" w:rsidRPr="000E478A">
        <w:rPr>
          <w:rFonts w:ascii="Comic Sans MS" w:hAnsi="Comic Sans MS"/>
          <w:sz w:val="22"/>
          <w:lang w:val="it-IT"/>
        </w:rPr>
        <w:t>, sulla violazione dell’art. 8 della Convenzione, legata alla mancanza di disciplina e riconoscimento</w:t>
      </w:r>
      <w:r w:rsidR="00230868">
        <w:rPr>
          <w:rFonts w:ascii="Comic Sans MS" w:hAnsi="Comic Sans MS"/>
          <w:sz w:val="22"/>
          <w:lang w:val="it-IT"/>
        </w:rPr>
        <w:t xml:space="preserve"> -</w:t>
      </w:r>
      <w:r w:rsidR="006E0338" w:rsidRPr="000E478A">
        <w:rPr>
          <w:rFonts w:ascii="Comic Sans MS" w:hAnsi="Comic Sans MS"/>
          <w:sz w:val="22"/>
          <w:lang w:val="it-IT"/>
        </w:rPr>
        <w:t xml:space="preserve"> fino al</w:t>
      </w:r>
      <w:r w:rsidRPr="000E478A">
        <w:rPr>
          <w:rFonts w:ascii="Comic Sans MS" w:hAnsi="Comic Sans MS"/>
          <w:sz w:val="22"/>
          <w:lang w:val="it-IT"/>
        </w:rPr>
        <w:t xml:space="preserve">l’introduzione della Legge n. </w:t>
      </w:r>
      <w:r w:rsidR="00501041" w:rsidRPr="000E478A">
        <w:rPr>
          <w:rFonts w:ascii="Comic Sans MS" w:hAnsi="Comic Sans MS"/>
          <w:sz w:val="22"/>
          <w:lang w:val="it-IT"/>
        </w:rPr>
        <w:t>76/</w:t>
      </w:r>
      <w:r w:rsidR="006E0338" w:rsidRPr="000E478A">
        <w:rPr>
          <w:rFonts w:ascii="Comic Sans MS" w:hAnsi="Comic Sans MS"/>
          <w:sz w:val="22"/>
          <w:lang w:val="it-IT"/>
        </w:rPr>
        <w:t>2016</w:t>
      </w:r>
      <w:r w:rsidR="00230868">
        <w:rPr>
          <w:rFonts w:ascii="Comic Sans MS" w:hAnsi="Comic Sans MS"/>
          <w:sz w:val="22"/>
          <w:lang w:val="it-IT"/>
        </w:rPr>
        <w:t xml:space="preserve"> -</w:t>
      </w:r>
      <w:r w:rsidR="006E0338" w:rsidRPr="000E478A">
        <w:rPr>
          <w:rFonts w:ascii="Comic Sans MS" w:hAnsi="Comic Sans MS"/>
          <w:sz w:val="22"/>
          <w:lang w:val="it-IT"/>
        </w:rPr>
        <w:t xml:space="preserve"> delle unioni </w:t>
      </w:r>
      <w:r w:rsidR="00501041" w:rsidRPr="000E478A">
        <w:rPr>
          <w:rFonts w:ascii="Comic Sans MS" w:hAnsi="Comic Sans MS"/>
          <w:sz w:val="22"/>
          <w:lang w:val="it-IT"/>
        </w:rPr>
        <w:t xml:space="preserve">civili </w:t>
      </w:r>
      <w:r w:rsidR="006E0338" w:rsidRPr="000E478A">
        <w:rPr>
          <w:rFonts w:ascii="Comic Sans MS" w:hAnsi="Comic Sans MS"/>
          <w:sz w:val="22"/>
          <w:lang w:val="it-IT"/>
        </w:rPr>
        <w:t>tra persone dello stesso sesso.</w:t>
      </w:r>
    </w:p>
    <w:p w:rsidR="006E0338" w:rsidRPr="000E478A" w:rsidRDefault="009813F9" w:rsidP="006E0338">
      <w:pPr>
        <w:widowControl w:val="0"/>
        <w:autoSpaceDE w:val="0"/>
        <w:autoSpaceDN w:val="0"/>
        <w:adjustRightInd w:val="0"/>
        <w:jc w:val="both"/>
        <w:rPr>
          <w:rFonts w:ascii="Comic Sans MS" w:hAnsi="Comic Sans MS"/>
          <w:sz w:val="22"/>
          <w:lang w:val="it-IT"/>
        </w:rPr>
      </w:pPr>
      <w:r>
        <w:rPr>
          <w:rFonts w:ascii="Comic Sans MS" w:hAnsi="Comic Sans MS"/>
          <w:sz w:val="22"/>
          <w:lang w:val="it-IT"/>
        </w:rPr>
        <w:t>Nella pronuncia</w:t>
      </w:r>
      <w:r w:rsidR="006E0338" w:rsidRPr="000E478A">
        <w:rPr>
          <w:rFonts w:ascii="Comic Sans MS" w:hAnsi="Comic Sans MS"/>
          <w:sz w:val="22"/>
          <w:lang w:val="it-IT"/>
        </w:rPr>
        <w:t xml:space="preserve"> </w:t>
      </w:r>
      <w:r>
        <w:rPr>
          <w:rFonts w:ascii="Comic Sans MS" w:hAnsi="Comic Sans MS"/>
          <w:sz w:val="22"/>
          <w:lang w:val="it-IT"/>
        </w:rPr>
        <w:t xml:space="preserve">la </w:t>
      </w:r>
      <w:r w:rsidR="006E0338" w:rsidRPr="000E478A">
        <w:rPr>
          <w:rFonts w:ascii="Comic Sans MS" w:hAnsi="Comic Sans MS"/>
          <w:sz w:val="22"/>
          <w:lang w:val="it-IT"/>
        </w:rPr>
        <w:t xml:space="preserve">Corte ha ricordato che </w:t>
      </w:r>
      <w:r>
        <w:rPr>
          <w:rFonts w:ascii="Comic Sans MS" w:hAnsi="Comic Sans MS"/>
          <w:sz w:val="22"/>
          <w:lang w:val="it-IT"/>
        </w:rPr>
        <w:t>ventisette</w:t>
      </w:r>
      <w:r w:rsidR="006E0338" w:rsidRPr="000E478A">
        <w:rPr>
          <w:rFonts w:ascii="Comic Sans MS" w:hAnsi="Comic Sans MS"/>
          <w:sz w:val="22"/>
          <w:lang w:val="it-IT"/>
        </w:rPr>
        <w:t xml:space="preserve"> dei </w:t>
      </w:r>
      <w:r>
        <w:rPr>
          <w:rFonts w:ascii="Comic Sans MS" w:hAnsi="Comic Sans MS"/>
          <w:sz w:val="22"/>
          <w:lang w:val="it-IT"/>
        </w:rPr>
        <w:t>quarantasette Paesi</w:t>
      </w:r>
      <w:r w:rsidR="006E0338" w:rsidRPr="000E478A">
        <w:rPr>
          <w:rFonts w:ascii="Comic Sans MS" w:hAnsi="Comic Sans MS"/>
          <w:sz w:val="22"/>
          <w:lang w:val="it-IT"/>
        </w:rPr>
        <w:t xml:space="preserve"> sottoscrittori della CEDU avevano disciplinato le unioni tra coppie omosessuali, ma solo </w:t>
      </w:r>
      <w:r>
        <w:rPr>
          <w:rFonts w:ascii="Comic Sans MS" w:hAnsi="Comic Sans MS"/>
          <w:sz w:val="22"/>
          <w:lang w:val="it-IT"/>
        </w:rPr>
        <w:t xml:space="preserve">tre </w:t>
      </w:r>
      <w:r w:rsidR="006E0338" w:rsidRPr="000E478A">
        <w:rPr>
          <w:rFonts w:ascii="Comic Sans MS" w:hAnsi="Comic Sans MS"/>
          <w:sz w:val="22"/>
          <w:lang w:val="it-IT"/>
        </w:rPr>
        <w:t xml:space="preserve">di quei </w:t>
      </w:r>
      <w:r>
        <w:rPr>
          <w:rFonts w:ascii="Comic Sans MS" w:hAnsi="Comic Sans MS"/>
          <w:sz w:val="22"/>
          <w:lang w:val="it-IT"/>
        </w:rPr>
        <w:t xml:space="preserve">ventisette </w:t>
      </w:r>
      <w:r w:rsidR="006E0338" w:rsidRPr="000E478A">
        <w:rPr>
          <w:rFonts w:ascii="Comic Sans MS" w:hAnsi="Comic Sans MS"/>
          <w:sz w:val="22"/>
          <w:lang w:val="it-IT"/>
        </w:rPr>
        <w:t xml:space="preserve">avevano esteso la possibilità di contrarre matrimonio a persone dello stesso sesso. Tale diversità di vedute, secondo i giudici, dimostra che deve essere lasciato un ampio margine di apprezzamento sulla tematica della trascrizioni dei matrimoni omosessuali contratti all’estero. D’altro canto, la discrezionalità legislativa in un settore delicato, come quello dei diritti civili, è tanto più ristretta quanto più alto è il rischio delle discriminazioni. Alla luce di ciò, la Corte ha ritenuto che la scelta del legislatore italiano di rifiutare tale trascrizione dei matrimoni omosessuali contratti all’estero non </w:t>
      </w:r>
      <w:r>
        <w:rPr>
          <w:rFonts w:ascii="Comic Sans MS" w:hAnsi="Comic Sans MS"/>
          <w:sz w:val="22"/>
          <w:lang w:val="it-IT"/>
        </w:rPr>
        <w:t>fosse</w:t>
      </w:r>
      <w:r w:rsidR="006E0338" w:rsidRPr="000E478A">
        <w:rPr>
          <w:rFonts w:ascii="Comic Sans MS" w:hAnsi="Comic Sans MS"/>
          <w:sz w:val="22"/>
          <w:lang w:val="it-IT"/>
        </w:rPr>
        <w:t xml:space="preserve"> censurabile. Tuttavia, i giudici hanno rilevato che il rifiuto di dare a queste unioni una qualsiasi altra forma di riconoscimento ha lasciato le coppie omosessuali prive di tutela, al</w:t>
      </w:r>
      <w:r>
        <w:rPr>
          <w:rFonts w:ascii="Comic Sans MS" w:hAnsi="Comic Sans MS"/>
          <w:sz w:val="22"/>
          <w:lang w:val="it-IT"/>
        </w:rPr>
        <w:t>meno fino all’introduzione della normativa sulle</w:t>
      </w:r>
      <w:r w:rsidR="006E0338" w:rsidRPr="000E478A">
        <w:rPr>
          <w:rFonts w:ascii="Comic Sans MS" w:hAnsi="Comic Sans MS"/>
          <w:sz w:val="22"/>
          <w:lang w:val="it-IT"/>
        </w:rPr>
        <w:t xml:space="preserve"> unioni civili nel 2016.</w:t>
      </w:r>
    </w:p>
    <w:p w:rsidR="00F1317B" w:rsidRDefault="006E0338" w:rsidP="006E0338">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La Corte, entro tali limiti, ha quindi riconosciuto la violazione dell’art. 8</w:t>
      </w:r>
      <w:r w:rsidR="00F1317B">
        <w:rPr>
          <w:rFonts w:ascii="Comic Sans MS" w:hAnsi="Comic Sans MS"/>
          <w:sz w:val="22"/>
          <w:lang w:val="it-IT"/>
        </w:rPr>
        <w:t>,</w:t>
      </w:r>
      <w:r w:rsidRPr="000E478A">
        <w:rPr>
          <w:rFonts w:ascii="Comic Sans MS" w:hAnsi="Comic Sans MS"/>
          <w:sz w:val="22"/>
          <w:lang w:val="it-IT"/>
        </w:rPr>
        <w:t xml:space="preserve"> liquida</w:t>
      </w:r>
      <w:r w:rsidR="00F1317B">
        <w:rPr>
          <w:rFonts w:ascii="Comic Sans MS" w:hAnsi="Comic Sans MS"/>
          <w:sz w:val="22"/>
          <w:lang w:val="it-IT"/>
        </w:rPr>
        <w:t>nd</w:t>
      </w:r>
      <w:r w:rsidRPr="000E478A">
        <w:rPr>
          <w:rFonts w:ascii="Comic Sans MS" w:hAnsi="Comic Sans MS"/>
          <w:sz w:val="22"/>
          <w:lang w:val="it-IT"/>
        </w:rPr>
        <w:t>o ai ricorrenti</w:t>
      </w:r>
      <w:r w:rsidR="004C3CB0">
        <w:rPr>
          <w:rFonts w:ascii="Comic Sans MS" w:hAnsi="Comic Sans MS"/>
          <w:sz w:val="22"/>
          <w:lang w:val="it-IT"/>
        </w:rPr>
        <w:t xml:space="preserve"> - a titolo di equa soddisfazione -</w:t>
      </w:r>
      <w:r w:rsidRPr="000E478A">
        <w:rPr>
          <w:rFonts w:ascii="Comic Sans MS" w:hAnsi="Comic Sans MS"/>
          <w:sz w:val="22"/>
          <w:lang w:val="it-IT"/>
        </w:rPr>
        <w:t xml:space="preserve"> </w:t>
      </w:r>
      <w:r w:rsidR="00F1317B">
        <w:rPr>
          <w:rFonts w:ascii="Comic Sans MS" w:hAnsi="Comic Sans MS"/>
          <w:sz w:val="22"/>
          <w:lang w:val="it-IT"/>
        </w:rPr>
        <w:t xml:space="preserve">la somma di </w:t>
      </w:r>
      <w:r w:rsidRPr="000E478A">
        <w:rPr>
          <w:rFonts w:ascii="Comic Sans MS" w:hAnsi="Comic Sans MS"/>
          <w:sz w:val="22"/>
          <w:lang w:val="it-IT"/>
        </w:rPr>
        <w:t>5.000 euro ciascuno per danni morali</w:t>
      </w:r>
      <w:r w:rsidR="00F1317B">
        <w:rPr>
          <w:rFonts w:ascii="Comic Sans MS" w:hAnsi="Comic Sans MS"/>
          <w:sz w:val="22"/>
          <w:lang w:val="it-IT"/>
        </w:rPr>
        <w:t>.</w:t>
      </w:r>
    </w:p>
    <w:p w:rsidR="006E0338" w:rsidRPr="000E478A" w:rsidRDefault="006E0338" w:rsidP="006E0338">
      <w:pPr>
        <w:widowControl w:val="0"/>
        <w:autoSpaceDE w:val="0"/>
        <w:autoSpaceDN w:val="0"/>
        <w:adjustRightInd w:val="0"/>
        <w:jc w:val="both"/>
        <w:rPr>
          <w:rFonts w:ascii="Comic Sans MS" w:hAnsi="Comic Sans MS"/>
          <w:sz w:val="22"/>
          <w:lang w:val="it-IT"/>
        </w:rPr>
      </w:pPr>
    </w:p>
    <w:p w:rsidR="00E51470" w:rsidRPr="000E478A" w:rsidRDefault="00E51470" w:rsidP="006E0338">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Numeros</w:t>
      </w:r>
      <w:r w:rsidR="009813F9">
        <w:rPr>
          <w:rFonts w:ascii="Comic Sans MS" w:hAnsi="Comic Sans MS"/>
          <w:sz w:val="22"/>
          <w:lang w:val="it-IT"/>
        </w:rPr>
        <w:t>e</w:t>
      </w:r>
      <w:r w:rsidRPr="000E478A">
        <w:rPr>
          <w:rFonts w:ascii="Comic Sans MS" w:hAnsi="Comic Sans MS"/>
          <w:sz w:val="22"/>
          <w:lang w:val="it-IT"/>
        </w:rPr>
        <w:t xml:space="preserve"> sono</w:t>
      </w:r>
      <w:r w:rsidR="009813F9">
        <w:rPr>
          <w:rFonts w:ascii="Comic Sans MS" w:hAnsi="Comic Sans MS"/>
          <w:sz w:val="22"/>
          <w:lang w:val="it-IT"/>
        </w:rPr>
        <w:t>,</w:t>
      </w:r>
      <w:r w:rsidRPr="000E478A">
        <w:rPr>
          <w:rFonts w:ascii="Comic Sans MS" w:hAnsi="Comic Sans MS"/>
          <w:sz w:val="22"/>
          <w:lang w:val="it-IT"/>
        </w:rPr>
        <w:t xml:space="preserve"> poi</w:t>
      </w:r>
      <w:r w:rsidR="009813F9">
        <w:rPr>
          <w:rFonts w:ascii="Comic Sans MS" w:hAnsi="Comic Sans MS"/>
          <w:sz w:val="22"/>
          <w:lang w:val="it-IT"/>
        </w:rPr>
        <w:t>,</w:t>
      </w:r>
      <w:r w:rsidRPr="000E478A">
        <w:rPr>
          <w:rFonts w:ascii="Comic Sans MS" w:hAnsi="Comic Sans MS"/>
          <w:sz w:val="22"/>
          <w:lang w:val="it-IT"/>
        </w:rPr>
        <w:t xml:space="preserve"> </w:t>
      </w:r>
      <w:r w:rsidR="009813F9">
        <w:rPr>
          <w:rFonts w:ascii="Comic Sans MS" w:hAnsi="Comic Sans MS"/>
          <w:sz w:val="22"/>
          <w:lang w:val="it-IT"/>
        </w:rPr>
        <w:t xml:space="preserve">le </w:t>
      </w:r>
      <w:r w:rsidR="009813F9" w:rsidRPr="00263F4D">
        <w:rPr>
          <w:rFonts w:ascii="Comic Sans MS" w:hAnsi="Comic Sans MS"/>
          <w:sz w:val="22"/>
          <w:u w:val="single"/>
          <w:lang w:val="it-IT"/>
        </w:rPr>
        <w:t xml:space="preserve">decisioni </w:t>
      </w:r>
      <w:r w:rsidRPr="00263F4D">
        <w:rPr>
          <w:rFonts w:ascii="Comic Sans MS" w:hAnsi="Comic Sans MS"/>
          <w:sz w:val="22"/>
          <w:u w:val="single"/>
          <w:lang w:val="it-IT"/>
        </w:rPr>
        <w:t>in materia di affidamento di minori</w:t>
      </w:r>
      <w:r w:rsidRPr="000E478A">
        <w:rPr>
          <w:rFonts w:ascii="Comic Sans MS" w:hAnsi="Comic Sans MS"/>
          <w:sz w:val="22"/>
          <w:lang w:val="it-IT"/>
        </w:rPr>
        <w:t xml:space="preserve"> e, in particolare di disposizioni concernenti il diritto di visita del genitore </w:t>
      </w:r>
      <w:r w:rsidR="0010425D">
        <w:rPr>
          <w:rFonts w:ascii="Comic Sans MS" w:hAnsi="Comic Sans MS"/>
          <w:sz w:val="22"/>
          <w:lang w:val="it-IT"/>
        </w:rPr>
        <w:t xml:space="preserve">(o dei nonni) </w:t>
      </w:r>
      <w:r w:rsidRPr="000E478A">
        <w:rPr>
          <w:rFonts w:ascii="Comic Sans MS" w:hAnsi="Comic Sans MS"/>
          <w:sz w:val="22"/>
          <w:lang w:val="it-IT"/>
        </w:rPr>
        <w:t>che hanno portato al riconoscimento della violazione dell’art. 8 della Convenzione.</w:t>
      </w:r>
    </w:p>
    <w:p w:rsidR="008678EF" w:rsidRPr="000E478A" w:rsidRDefault="00E51470" w:rsidP="00CC27E6">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 xml:space="preserve">In linea generale, può rilevarsi che </w:t>
      </w:r>
      <w:r w:rsidR="009813F9">
        <w:rPr>
          <w:rFonts w:ascii="Comic Sans MS" w:hAnsi="Comic Sans MS"/>
          <w:sz w:val="22"/>
          <w:lang w:val="it-IT"/>
        </w:rPr>
        <w:t>la Corte ha</w:t>
      </w:r>
      <w:r w:rsidRPr="000E478A">
        <w:rPr>
          <w:rFonts w:ascii="Comic Sans MS" w:hAnsi="Comic Sans MS"/>
          <w:sz w:val="22"/>
          <w:lang w:val="it-IT"/>
        </w:rPr>
        <w:t xml:space="preserve"> sanzionat</w:t>
      </w:r>
      <w:r w:rsidR="009813F9">
        <w:rPr>
          <w:rFonts w:ascii="Comic Sans MS" w:hAnsi="Comic Sans MS"/>
          <w:sz w:val="22"/>
          <w:lang w:val="it-IT"/>
        </w:rPr>
        <w:t>o</w:t>
      </w:r>
      <w:r w:rsidRPr="000E478A">
        <w:rPr>
          <w:rFonts w:ascii="Comic Sans MS" w:hAnsi="Comic Sans MS"/>
          <w:sz w:val="22"/>
          <w:lang w:val="it-IT"/>
        </w:rPr>
        <w:t xml:space="preserve"> la scarsa attenzione al momento esecutivo dei provvedimenti in tema di minori, così come l’eccessiva durata delle procedure</w:t>
      </w:r>
      <w:r w:rsidR="00CC27E6" w:rsidRPr="000E478A">
        <w:rPr>
          <w:rFonts w:ascii="Comic Sans MS" w:hAnsi="Comic Sans MS"/>
          <w:sz w:val="22"/>
          <w:lang w:val="it-IT"/>
        </w:rPr>
        <w:t>,</w:t>
      </w:r>
      <w:r w:rsidRPr="000E478A">
        <w:rPr>
          <w:rFonts w:ascii="Comic Sans MS" w:hAnsi="Comic Sans MS"/>
          <w:sz w:val="22"/>
          <w:lang w:val="it-IT"/>
        </w:rPr>
        <w:t xml:space="preserve"> in una materia in cui </w:t>
      </w:r>
      <w:r w:rsidR="00CC27E6" w:rsidRPr="000E478A">
        <w:rPr>
          <w:rFonts w:ascii="Comic Sans MS" w:hAnsi="Comic Sans MS"/>
          <w:sz w:val="22"/>
          <w:lang w:val="it-IT"/>
        </w:rPr>
        <w:t>il fattore tempo assume decisivo rilievo; infatti, afferma la Corte che le relazioni future tra genitore e figlio devono essere definite sulla base di tutti gli elementi pertinenti e non semplicemente in considerazione del passare del tempo.</w:t>
      </w:r>
    </w:p>
    <w:p w:rsidR="008678EF" w:rsidRPr="000E478A" w:rsidRDefault="008678EF" w:rsidP="00CC27E6">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In tali ipotesi, a fronte del superamento in fatto (spesso proprio a causa del decorso del tempo) della situazione prospettata alla Corte, non vi sono</w:t>
      </w:r>
      <w:r w:rsidR="009813F9">
        <w:rPr>
          <w:rFonts w:ascii="Comic Sans MS" w:hAnsi="Comic Sans MS"/>
          <w:sz w:val="22"/>
          <w:lang w:val="it-IT"/>
        </w:rPr>
        <w:t xml:space="preserve"> state</w:t>
      </w:r>
      <w:r w:rsidRPr="000E478A">
        <w:rPr>
          <w:rFonts w:ascii="Comic Sans MS" w:hAnsi="Comic Sans MS"/>
          <w:sz w:val="22"/>
          <w:lang w:val="it-IT"/>
        </w:rPr>
        <w:t xml:space="preserve"> indicazioni sugli eventuali provvedimenti da adottare</w:t>
      </w:r>
      <w:r w:rsidR="009813F9">
        <w:rPr>
          <w:rFonts w:ascii="Comic Sans MS" w:hAnsi="Comic Sans MS"/>
          <w:sz w:val="22"/>
          <w:lang w:val="it-IT"/>
        </w:rPr>
        <w:t>, per cui</w:t>
      </w:r>
      <w:r w:rsidRPr="000E478A">
        <w:rPr>
          <w:rFonts w:ascii="Comic Sans MS" w:hAnsi="Comic Sans MS"/>
          <w:sz w:val="22"/>
          <w:lang w:val="it-IT"/>
        </w:rPr>
        <w:t xml:space="preserve"> l’esecuzione di tali decisioni </w:t>
      </w:r>
      <w:r w:rsidR="009813F9">
        <w:rPr>
          <w:rFonts w:ascii="Comic Sans MS" w:hAnsi="Comic Sans MS"/>
          <w:sz w:val="22"/>
          <w:lang w:val="it-IT"/>
        </w:rPr>
        <w:t xml:space="preserve">è </w:t>
      </w:r>
      <w:r w:rsidRPr="000E478A">
        <w:rPr>
          <w:rFonts w:ascii="Comic Sans MS" w:hAnsi="Comic Sans MS"/>
          <w:sz w:val="22"/>
          <w:lang w:val="it-IT"/>
        </w:rPr>
        <w:t>consist</w:t>
      </w:r>
      <w:r w:rsidR="009813F9">
        <w:rPr>
          <w:rFonts w:ascii="Comic Sans MS" w:hAnsi="Comic Sans MS"/>
          <w:sz w:val="22"/>
          <w:lang w:val="it-IT"/>
        </w:rPr>
        <w:t>ita</w:t>
      </w:r>
      <w:r w:rsidRPr="000E478A">
        <w:rPr>
          <w:rFonts w:ascii="Comic Sans MS" w:hAnsi="Comic Sans MS"/>
          <w:sz w:val="22"/>
          <w:lang w:val="it-IT"/>
        </w:rPr>
        <w:t xml:space="preserve"> nella diffusione della sentenza </w:t>
      </w:r>
      <w:r w:rsidR="0010425D">
        <w:rPr>
          <w:rFonts w:ascii="Comic Sans MS" w:hAnsi="Comic Sans MS"/>
          <w:sz w:val="22"/>
          <w:lang w:val="it-IT"/>
        </w:rPr>
        <w:t>sui siti dedicati</w:t>
      </w:r>
      <w:r w:rsidR="003477E7">
        <w:rPr>
          <w:rFonts w:ascii="Comic Sans MS" w:hAnsi="Comic Sans MS"/>
          <w:sz w:val="22"/>
          <w:lang w:val="it-IT"/>
        </w:rPr>
        <w:t xml:space="preserve">, nell’invio delle sentenze </w:t>
      </w:r>
      <w:r w:rsidR="0010425D">
        <w:rPr>
          <w:rFonts w:ascii="Comic Sans MS" w:hAnsi="Comic Sans MS"/>
          <w:sz w:val="22"/>
          <w:lang w:val="it-IT"/>
        </w:rPr>
        <w:t xml:space="preserve">agli uffici giudiziari </w:t>
      </w:r>
      <w:r w:rsidR="003477E7">
        <w:rPr>
          <w:rFonts w:ascii="Comic Sans MS" w:hAnsi="Comic Sans MS"/>
          <w:sz w:val="22"/>
          <w:lang w:val="it-IT"/>
        </w:rPr>
        <w:t xml:space="preserve">con una nota esplicativa a cura del Ministero della Giustizia </w:t>
      </w:r>
      <w:r w:rsidRPr="000E478A">
        <w:rPr>
          <w:rFonts w:ascii="Comic Sans MS" w:hAnsi="Comic Sans MS"/>
          <w:sz w:val="22"/>
          <w:lang w:val="it-IT"/>
        </w:rPr>
        <w:t>e nel pagamento della somma liquidata a titolo di equa soddisfazione.</w:t>
      </w:r>
    </w:p>
    <w:p w:rsidR="00D350BD" w:rsidRPr="000E478A" w:rsidRDefault="008678EF" w:rsidP="00D350BD">
      <w:pPr>
        <w:widowControl w:val="0"/>
        <w:autoSpaceDE w:val="0"/>
        <w:autoSpaceDN w:val="0"/>
        <w:adjustRightInd w:val="0"/>
        <w:jc w:val="both"/>
        <w:rPr>
          <w:rFonts w:ascii="Comic Sans MS" w:hAnsi="Comic Sans MS"/>
          <w:sz w:val="22"/>
          <w:lang w:val="it-IT"/>
        </w:rPr>
      </w:pPr>
      <w:r w:rsidRPr="000E478A">
        <w:rPr>
          <w:rFonts w:ascii="Comic Sans MS" w:hAnsi="Comic Sans MS"/>
          <w:sz w:val="22"/>
          <w:lang w:val="it-IT"/>
        </w:rPr>
        <w:t xml:space="preserve">Il numero delle pronunce in tale materia, sempre crescente negli ultimi anni, </w:t>
      </w:r>
      <w:r w:rsidR="00D350BD" w:rsidRPr="000E478A">
        <w:rPr>
          <w:rFonts w:ascii="Comic Sans MS" w:hAnsi="Comic Sans MS"/>
          <w:sz w:val="22"/>
          <w:lang w:val="it-IT"/>
        </w:rPr>
        <w:t>impone – come correttamente osservato nella Relazione al Parlamento presentata dalla P</w:t>
      </w:r>
      <w:r w:rsidR="000B2F28">
        <w:rPr>
          <w:rFonts w:ascii="Comic Sans MS" w:hAnsi="Comic Sans MS"/>
          <w:sz w:val="22"/>
          <w:lang w:val="it-IT"/>
        </w:rPr>
        <w:t xml:space="preserve">residenza </w:t>
      </w:r>
      <w:r w:rsidR="00D350BD" w:rsidRPr="000E478A">
        <w:rPr>
          <w:rFonts w:ascii="Comic Sans MS" w:hAnsi="Comic Sans MS"/>
          <w:sz w:val="22"/>
          <w:lang w:val="it-IT"/>
        </w:rPr>
        <w:t>d</w:t>
      </w:r>
      <w:r w:rsidR="000B2F28">
        <w:rPr>
          <w:rFonts w:ascii="Comic Sans MS" w:hAnsi="Comic Sans MS"/>
          <w:sz w:val="22"/>
          <w:lang w:val="it-IT"/>
        </w:rPr>
        <w:t xml:space="preserve">el </w:t>
      </w:r>
      <w:r w:rsidR="00D350BD" w:rsidRPr="000E478A">
        <w:rPr>
          <w:rFonts w:ascii="Comic Sans MS" w:hAnsi="Comic Sans MS"/>
          <w:sz w:val="22"/>
          <w:lang w:val="it-IT"/>
        </w:rPr>
        <w:t>C</w:t>
      </w:r>
      <w:r w:rsidR="000B2F28">
        <w:rPr>
          <w:rFonts w:ascii="Comic Sans MS" w:hAnsi="Comic Sans MS"/>
          <w:sz w:val="22"/>
          <w:lang w:val="it-IT"/>
        </w:rPr>
        <w:t>onsiglio</w:t>
      </w:r>
      <w:r w:rsidR="00D350BD" w:rsidRPr="000E478A">
        <w:rPr>
          <w:rFonts w:ascii="Comic Sans MS" w:hAnsi="Comic Sans MS"/>
          <w:sz w:val="22"/>
          <w:lang w:val="it-IT"/>
        </w:rPr>
        <w:t xml:space="preserve"> per l’anno 2016 - </w:t>
      </w:r>
      <w:r w:rsidRPr="000E478A">
        <w:rPr>
          <w:rFonts w:ascii="Comic Sans MS" w:hAnsi="Comic Sans MS"/>
          <w:sz w:val="22"/>
          <w:lang w:val="it-IT"/>
        </w:rPr>
        <w:t xml:space="preserve">una riflessione </w:t>
      </w:r>
      <w:r w:rsidR="00D350BD" w:rsidRPr="000E478A">
        <w:rPr>
          <w:rFonts w:ascii="Comic Sans MS" w:hAnsi="Comic Sans MS"/>
          <w:sz w:val="22"/>
          <w:lang w:val="it-IT"/>
        </w:rPr>
        <w:t>di ordine generale sulle modalità operative degli organi di giustizia minorile, emergendo “</w:t>
      </w:r>
      <w:r w:rsidR="00D350BD" w:rsidRPr="000E478A">
        <w:rPr>
          <w:rFonts w:ascii="Comic Sans MS" w:hAnsi="Comic Sans MS"/>
          <w:i/>
          <w:sz w:val="22"/>
          <w:lang w:val="it-IT"/>
        </w:rPr>
        <w:t>un atteggiamento della Corte di censura dell’adozione di misure tendenzialmente automatiche e poco personalizzate, adottate sulla base di indagini provvisorie di natura giudiziaria con una eccessiva delega degli accertamenti ai servizi sociali e a esperti in materia psicologica e assenza di diretta gestione da parte del giudice attraverso verifiche efficaci e tempestive</w:t>
      </w:r>
      <w:r w:rsidR="00D350BD" w:rsidRPr="000E478A">
        <w:rPr>
          <w:rFonts w:ascii="Comic Sans MS" w:hAnsi="Comic Sans MS"/>
          <w:sz w:val="22"/>
          <w:lang w:val="it-IT"/>
        </w:rPr>
        <w:t>”. La questione della riforma del processo minorile è ancora aperta.</w:t>
      </w:r>
    </w:p>
    <w:p w:rsidR="00D350BD" w:rsidRPr="000E478A" w:rsidRDefault="00D350BD" w:rsidP="00D350BD">
      <w:pPr>
        <w:pStyle w:val="NormalWeb"/>
        <w:spacing w:before="2" w:after="2"/>
        <w:jc w:val="both"/>
        <w:rPr>
          <w:rFonts w:ascii="Comic Sans MS" w:hAnsi="Comic Sans MS" w:cstheme="minorBidi"/>
          <w:sz w:val="22"/>
          <w:szCs w:val="24"/>
          <w:lang w:val="it-IT" w:eastAsia="en-US"/>
        </w:rPr>
      </w:pPr>
    </w:p>
    <w:p w:rsidR="00787D21" w:rsidRDefault="00FE0DEB" w:rsidP="00D350BD">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Per ragioni di brevità </w:t>
      </w:r>
      <w:r w:rsidR="00CC4DDA">
        <w:rPr>
          <w:rFonts w:ascii="Comic Sans MS" w:hAnsi="Comic Sans MS" w:cstheme="minorBidi"/>
          <w:sz w:val="22"/>
          <w:szCs w:val="24"/>
          <w:lang w:val="it-IT" w:eastAsia="en-US"/>
        </w:rPr>
        <w:t>t</w:t>
      </w:r>
      <w:r>
        <w:rPr>
          <w:rFonts w:ascii="Comic Sans MS" w:hAnsi="Comic Sans MS" w:cstheme="minorBidi"/>
          <w:sz w:val="22"/>
          <w:szCs w:val="24"/>
          <w:lang w:val="it-IT" w:eastAsia="en-US"/>
        </w:rPr>
        <w:t xml:space="preserve">ralascio </w:t>
      </w:r>
      <w:r w:rsidR="00787D21">
        <w:rPr>
          <w:rFonts w:ascii="Comic Sans MS" w:hAnsi="Comic Sans MS" w:cstheme="minorBidi"/>
          <w:sz w:val="22"/>
          <w:szCs w:val="24"/>
          <w:lang w:val="it-IT" w:eastAsia="en-US"/>
        </w:rPr>
        <w:t xml:space="preserve">l’esame di tutte quelle decisioni </w:t>
      </w:r>
      <w:r w:rsidR="00CC4DDA">
        <w:rPr>
          <w:rFonts w:ascii="Comic Sans MS" w:hAnsi="Comic Sans MS" w:cstheme="minorBidi"/>
          <w:sz w:val="22"/>
          <w:szCs w:val="24"/>
          <w:lang w:val="it-IT" w:eastAsia="en-US"/>
        </w:rPr>
        <w:t>CEDU</w:t>
      </w:r>
      <w:r w:rsidR="000B2F28">
        <w:rPr>
          <w:rFonts w:ascii="Comic Sans MS" w:hAnsi="Comic Sans MS" w:cstheme="minorBidi"/>
          <w:sz w:val="22"/>
          <w:szCs w:val="24"/>
          <w:lang w:val="it-IT" w:eastAsia="en-US"/>
        </w:rPr>
        <w:t xml:space="preserve"> – senz’altro la maggioranza</w:t>
      </w:r>
      <w:r w:rsidR="00CC4DDA">
        <w:rPr>
          <w:rFonts w:ascii="Comic Sans MS" w:hAnsi="Comic Sans MS" w:cstheme="minorBidi"/>
          <w:sz w:val="22"/>
          <w:szCs w:val="24"/>
          <w:lang w:val="it-IT" w:eastAsia="en-US"/>
        </w:rPr>
        <w:t xml:space="preserve"> </w:t>
      </w:r>
      <w:r w:rsidR="000B2F28">
        <w:rPr>
          <w:rFonts w:ascii="Comic Sans MS" w:hAnsi="Comic Sans MS" w:cstheme="minorBidi"/>
          <w:sz w:val="22"/>
          <w:szCs w:val="24"/>
          <w:lang w:val="it-IT" w:eastAsia="en-US"/>
        </w:rPr>
        <w:t xml:space="preserve">- </w:t>
      </w:r>
      <w:r w:rsidR="00787D21">
        <w:rPr>
          <w:rFonts w:ascii="Comic Sans MS" w:hAnsi="Comic Sans MS" w:cstheme="minorBidi"/>
          <w:sz w:val="22"/>
          <w:szCs w:val="24"/>
          <w:lang w:val="it-IT" w:eastAsia="en-US"/>
        </w:rPr>
        <w:t xml:space="preserve">che hanno comportato una ricaduta sul giudicato </w:t>
      </w:r>
      <w:r w:rsidR="00CC4DDA">
        <w:rPr>
          <w:rFonts w:ascii="Comic Sans MS" w:hAnsi="Comic Sans MS" w:cstheme="minorBidi"/>
          <w:sz w:val="22"/>
          <w:szCs w:val="24"/>
          <w:lang w:val="it-IT" w:eastAsia="en-US"/>
        </w:rPr>
        <w:t xml:space="preserve">nazionale, </w:t>
      </w:r>
      <w:r w:rsidR="00787D21">
        <w:rPr>
          <w:rFonts w:ascii="Comic Sans MS" w:hAnsi="Comic Sans MS" w:cstheme="minorBidi"/>
          <w:sz w:val="22"/>
          <w:szCs w:val="24"/>
          <w:lang w:val="it-IT" w:eastAsia="en-US"/>
        </w:rPr>
        <w:t>peraltro già oggetto di approfondita analisi nelle precedenti relazioni</w:t>
      </w:r>
      <w:r w:rsidR="000B2F28">
        <w:rPr>
          <w:rFonts w:ascii="Comic Sans MS" w:hAnsi="Comic Sans MS" w:cstheme="minorBidi"/>
          <w:sz w:val="22"/>
          <w:szCs w:val="24"/>
          <w:lang w:val="it-IT" w:eastAsia="en-US"/>
        </w:rPr>
        <w:t>, con riferimento alle diverse tipologie di procedimenti giudiziari</w:t>
      </w:r>
      <w:r w:rsidR="00787D21">
        <w:rPr>
          <w:rFonts w:ascii="Comic Sans MS" w:hAnsi="Comic Sans MS" w:cstheme="minorBidi"/>
          <w:sz w:val="22"/>
          <w:szCs w:val="24"/>
          <w:lang w:val="it-IT" w:eastAsia="en-US"/>
        </w:rPr>
        <w:t>.</w:t>
      </w:r>
    </w:p>
    <w:p w:rsidR="00787D21" w:rsidRDefault="00787D21" w:rsidP="00D350BD">
      <w:pPr>
        <w:pStyle w:val="NormalWeb"/>
        <w:spacing w:before="2" w:after="2"/>
        <w:jc w:val="both"/>
        <w:rPr>
          <w:rFonts w:ascii="Comic Sans MS" w:hAnsi="Comic Sans MS" w:cstheme="minorBidi"/>
          <w:sz w:val="22"/>
          <w:szCs w:val="24"/>
          <w:lang w:val="it-IT" w:eastAsia="en-US"/>
        </w:rPr>
      </w:pPr>
    </w:p>
    <w:p w:rsidR="00CC4DDA" w:rsidRDefault="00787D21" w:rsidP="00D350BD">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Di estremo rilievo </w:t>
      </w:r>
      <w:r w:rsidR="00263F4D">
        <w:rPr>
          <w:rFonts w:ascii="Comic Sans MS" w:hAnsi="Comic Sans MS" w:cstheme="minorBidi"/>
          <w:sz w:val="22"/>
          <w:szCs w:val="24"/>
          <w:lang w:val="it-IT" w:eastAsia="en-US"/>
        </w:rPr>
        <w:t>appai</w:t>
      </w:r>
      <w:r w:rsidR="00CC4DDA">
        <w:rPr>
          <w:rFonts w:ascii="Comic Sans MS" w:hAnsi="Comic Sans MS" w:cstheme="minorBidi"/>
          <w:sz w:val="22"/>
          <w:szCs w:val="24"/>
          <w:lang w:val="it-IT" w:eastAsia="en-US"/>
        </w:rPr>
        <w:t>ono quelle decisioni ove la Corte europea individua una violazione strutturale del sistema nazionale e indica nel dispositivo i rimedi specifici per rimuovere le cause della violazione.</w:t>
      </w:r>
    </w:p>
    <w:p w:rsidR="00E075C8" w:rsidRDefault="00CC4DDA" w:rsidP="00D350BD">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Si tratta dell</w:t>
      </w:r>
      <w:r w:rsidR="00263F4D">
        <w:rPr>
          <w:rFonts w:ascii="Comic Sans MS" w:hAnsi="Comic Sans MS" w:cstheme="minorBidi"/>
          <w:sz w:val="22"/>
          <w:szCs w:val="24"/>
          <w:lang w:val="it-IT" w:eastAsia="en-US"/>
        </w:rPr>
        <w:t>e</w:t>
      </w:r>
      <w:r>
        <w:rPr>
          <w:rFonts w:ascii="Comic Sans MS" w:hAnsi="Comic Sans MS" w:cstheme="minorBidi"/>
          <w:sz w:val="22"/>
          <w:szCs w:val="24"/>
          <w:lang w:val="it-IT" w:eastAsia="en-US"/>
        </w:rPr>
        <w:t xml:space="preserve"> </w:t>
      </w:r>
      <w:r w:rsidRPr="00C77036">
        <w:rPr>
          <w:rFonts w:ascii="Comic Sans MS" w:hAnsi="Comic Sans MS" w:cstheme="minorBidi"/>
          <w:sz w:val="22"/>
          <w:szCs w:val="24"/>
          <w:u w:val="single"/>
          <w:lang w:val="it-IT" w:eastAsia="en-US"/>
        </w:rPr>
        <w:t>sentenze pilota</w:t>
      </w:r>
      <w:r w:rsidR="00E075C8">
        <w:rPr>
          <w:rStyle w:val="Refdenotaalpie"/>
          <w:rFonts w:ascii="Comic Sans MS" w:hAnsi="Comic Sans MS" w:cstheme="minorBidi"/>
          <w:sz w:val="22"/>
          <w:szCs w:val="24"/>
          <w:lang w:val="it-IT" w:eastAsia="en-US"/>
        </w:rPr>
        <w:footnoteReference w:id="3"/>
      </w:r>
      <w:r>
        <w:rPr>
          <w:rFonts w:ascii="Comic Sans MS" w:hAnsi="Comic Sans MS" w:cstheme="minorBidi"/>
          <w:sz w:val="22"/>
          <w:szCs w:val="24"/>
          <w:lang w:val="it-IT" w:eastAsia="en-US"/>
        </w:rPr>
        <w:t xml:space="preserve">, previste dall’art. 61 del Regolamento CEDU, in vigore dal 1.4.2011. Tuttavia, deve osservarsi che la Corte aveva sin dagli novanta dello scorso secolo iniziato a segnalare nelle sue decisioni che alcune violazioni non erano isolate e derivavano da pratiche interne incompatibili con la Convenzione, giungendo, poi, con la decisione </w:t>
      </w:r>
      <w:r w:rsidRPr="00CC4DDA">
        <w:rPr>
          <w:rFonts w:ascii="Comic Sans MS" w:hAnsi="Comic Sans MS" w:cstheme="minorBidi"/>
          <w:i/>
          <w:sz w:val="22"/>
          <w:szCs w:val="24"/>
          <w:lang w:val="it-IT" w:eastAsia="en-US"/>
        </w:rPr>
        <w:t>Broniowski c/ Polonia</w:t>
      </w:r>
      <w:r>
        <w:rPr>
          <w:rFonts w:ascii="Comic Sans MS" w:hAnsi="Comic Sans MS" w:cstheme="minorBidi"/>
          <w:sz w:val="22"/>
          <w:szCs w:val="24"/>
          <w:lang w:val="it-IT" w:eastAsia="en-US"/>
        </w:rPr>
        <w:t xml:space="preserve"> del 22.6.2004</w:t>
      </w:r>
      <w:r w:rsidR="00BA06E5">
        <w:rPr>
          <w:rFonts w:ascii="Comic Sans MS" w:hAnsi="Comic Sans MS" w:cstheme="minorBidi"/>
          <w:sz w:val="22"/>
          <w:szCs w:val="24"/>
          <w:lang w:val="it-IT" w:eastAsia="en-US"/>
        </w:rPr>
        <w:t>,</w:t>
      </w:r>
      <w:r>
        <w:rPr>
          <w:rFonts w:ascii="Comic Sans MS" w:hAnsi="Comic Sans MS" w:cstheme="minorBidi"/>
          <w:sz w:val="22"/>
          <w:szCs w:val="24"/>
          <w:lang w:val="it-IT" w:eastAsia="en-US"/>
        </w:rPr>
        <w:t xml:space="preserve"> a individuare le cause della violazione sistemica</w:t>
      </w:r>
      <w:r w:rsidR="00E075C8">
        <w:rPr>
          <w:rFonts w:ascii="Comic Sans MS" w:hAnsi="Comic Sans MS" w:cstheme="minorBidi"/>
          <w:sz w:val="22"/>
          <w:szCs w:val="24"/>
          <w:lang w:val="it-IT" w:eastAsia="en-US"/>
        </w:rPr>
        <w:t xml:space="preserve"> e indicare la necessità dell’adozione di misure generali.</w:t>
      </w:r>
    </w:p>
    <w:p w:rsidR="00C221BA" w:rsidRPr="000E478A" w:rsidRDefault="00E075C8" w:rsidP="00D350BD">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Nei confronti dell’Italia, la Corte europea aveva indicato nella sentenza </w:t>
      </w:r>
      <w:r w:rsidRPr="00E075C8">
        <w:rPr>
          <w:rFonts w:ascii="Comic Sans MS" w:hAnsi="Comic Sans MS" w:cstheme="minorBidi"/>
          <w:i/>
          <w:sz w:val="22"/>
          <w:szCs w:val="24"/>
          <w:lang w:val="it-IT" w:eastAsia="en-US"/>
        </w:rPr>
        <w:t>Sejdovic</w:t>
      </w:r>
      <w:r>
        <w:rPr>
          <w:rFonts w:ascii="Comic Sans MS" w:hAnsi="Comic Sans MS" w:cstheme="minorBidi"/>
          <w:sz w:val="22"/>
          <w:szCs w:val="24"/>
          <w:lang w:val="it-IT" w:eastAsia="en-US"/>
        </w:rPr>
        <w:t xml:space="preserve"> del 10.11.2004 l’esistenza di un problema strutturale legato al processo contumaciale e nella decisione</w:t>
      </w:r>
      <w:r w:rsidR="00BA06E5">
        <w:rPr>
          <w:rFonts w:ascii="Comic Sans MS" w:hAnsi="Comic Sans MS" w:cstheme="minorBidi"/>
          <w:sz w:val="22"/>
          <w:szCs w:val="24"/>
          <w:lang w:val="it-IT" w:eastAsia="en-US"/>
        </w:rPr>
        <w:t xml:space="preserve"> della Grande Camera</w:t>
      </w:r>
      <w:r>
        <w:rPr>
          <w:rFonts w:ascii="Comic Sans MS" w:hAnsi="Comic Sans MS" w:cstheme="minorBidi"/>
          <w:sz w:val="22"/>
          <w:szCs w:val="24"/>
          <w:lang w:val="it-IT" w:eastAsia="en-US"/>
        </w:rPr>
        <w:t xml:space="preserve"> </w:t>
      </w:r>
      <w:r w:rsidRPr="00E075C8">
        <w:rPr>
          <w:rFonts w:ascii="Comic Sans MS" w:hAnsi="Comic Sans MS" w:cstheme="minorBidi"/>
          <w:i/>
          <w:sz w:val="22"/>
          <w:szCs w:val="24"/>
          <w:lang w:val="it-IT" w:eastAsia="en-US"/>
        </w:rPr>
        <w:t>Scordino c/ Italia</w:t>
      </w:r>
      <w:r>
        <w:rPr>
          <w:rFonts w:ascii="Comic Sans MS" w:hAnsi="Comic Sans MS" w:cstheme="minorBidi"/>
          <w:sz w:val="22"/>
          <w:szCs w:val="24"/>
          <w:lang w:val="it-IT" w:eastAsia="en-US"/>
        </w:rPr>
        <w:t xml:space="preserve"> del 29.3.2006 i giudici europei  avevano rilevato l’inadeguatezza dell’indennità di espropriazione liquidata dalle autorità italiane nei casi precedenti al 1996.</w:t>
      </w:r>
    </w:p>
    <w:p w:rsidR="003B3864" w:rsidRDefault="003B3864" w:rsidP="00D350BD">
      <w:pPr>
        <w:pStyle w:val="NormalWeb"/>
        <w:spacing w:before="2" w:after="2"/>
        <w:jc w:val="both"/>
        <w:rPr>
          <w:rFonts w:ascii="Comic Sans MS" w:hAnsi="Comic Sans MS" w:cstheme="minorBidi"/>
          <w:sz w:val="22"/>
          <w:szCs w:val="24"/>
          <w:lang w:val="it-IT" w:eastAsia="en-US"/>
        </w:rPr>
      </w:pPr>
    </w:p>
    <w:p w:rsidR="003B3864" w:rsidRPr="003B3864" w:rsidRDefault="003B3864" w:rsidP="00D350BD">
      <w:pPr>
        <w:pStyle w:val="NormalWeb"/>
        <w:spacing w:before="2" w:after="2"/>
        <w:jc w:val="both"/>
        <w:rPr>
          <w:rFonts w:ascii="Comic Sans MS" w:hAnsi="Comic Sans MS" w:cstheme="minorBidi"/>
          <w:b/>
          <w:i/>
          <w:sz w:val="22"/>
          <w:szCs w:val="24"/>
          <w:lang w:val="it-IT" w:eastAsia="en-US"/>
        </w:rPr>
      </w:pPr>
      <w:r w:rsidRPr="003B3864">
        <w:rPr>
          <w:rFonts w:ascii="Comic Sans MS" w:hAnsi="Comic Sans MS" w:cstheme="minorBidi"/>
          <w:b/>
          <w:i/>
          <w:sz w:val="22"/>
          <w:szCs w:val="24"/>
          <w:lang w:val="it-IT" w:eastAsia="en-US"/>
        </w:rPr>
        <w:t>Il caso Torreggiani e altri c/ Italia</w:t>
      </w:r>
    </w:p>
    <w:p w:rsidR="00E075C8" w:rsidRPr="000E478A" w:rsidRDefault="00E075C8" w:rsidP="00E075C8">
      <w:pPr>
        <w:pStyle w:val="NormalWeb"/>
        <w:spacing w:before="2" w:after="2"/>
        <w:jc w:val="both"/>
        <w:rPr>
          <w:rFonts w:ascii="Comic Sans MS" w:hAnsi="Comic Sans MS"/>
          <w:b/>
          <w:i/>
          <w:sz w:val="22"/>
          <w:lang w:val="it-IT"/>
        </w:rPr>
      </w:pPr>
      <w:r>
        <w:rPr>
          <w:rFonts w:ascii="Comic Sans MS" w:hAnsi="Comic Sans MS" w:cstheme="minorBidi"/>
          <w:sz w:val="22"/>
          <w:szCs w:val="24"/>
          <w:lang w:val="it-IT" w:eastAsia="en-US"/>
        </w:rPr>
        <w:t xml:space="preserve">Nei confronti del nostro paese la CEDU ha pronunciato una sentenza pilota nel caso </w:t>
      </w:r>
    </w:p>
    <w:p w:rsidR="004652AF" w:rsidRPr="000E478A" w:rsidRDefault="004652AF" w:rsidP="004652AF">
      <w:pPr>
        <w:jc w:val="both"/>
        <w:rPr>
          <w:rFonts w:ascii="Comic Sans MS" w:hAnsi="Comic Sans MS"/>
          <w:sz w:val="22"/>
          <w:lang w:val="it-IT"/>
        </w:rPr>
      </w:pPr>
      <w:r w:rsidRPr="00604E4F">
        <w:rPr>
          <w:rFonts w:ascii="Comic Sans MS" w:hAnsi="Comic Sans MS"/>
          <w:i/>
          <w:sz w:val="22"/>
          <w:lang w:val="it-IT"/>
        </w:rPr>
        <w:t>Torreggiani e altri c</w:t>
      </w:r>
      <w:r w:rsidR="00C103BA">
        <w:rPr>
          <w:rFonts w:ascii="Comic Sans MS" w:hAnsi="Comic Sans MS"/>
          <w:i/>
          <w:sz w:val="22"/>
          <w:lang w:val="it-IT"/>
        </w:rPr>
        <w:t>/</w:t>
      </w:r>
      <w:r w:rsidRPr="00604E4F">
        <w:rPr>
          <w:rFonts w:ascii="Comic Sans MS" w:hAnsi="Comic Sans MS"/>
          <w:i/>
          <w:sz w:val="22"/>
          <w:lang w:val="it-IT"/>
        </w:rPr>
        <w:t xml:space="preserve"> Italia</w:t>
      </w:r>
      <w:r w:rsidRPr="000E478A">
        <w:rPr>
          <w:rFonts w:ascii="Comic Sans MS" w:hAnsi="Comic Sans MS"/>
          <w:sz w:val="22"/>
          <w:lang w:val="it-IT"/>
        </w:rPr>
        <w:t>, emess</w:t>
      </w:r>
      <w:r w:rsidR="00604E4F">
        <w:rPr>
          <w:rFonts w:ascii="Comic Sans MS" w:hAnsi="Comic Sans MS"/>
          <w:sz w:val="22"/>
          <w:lang w:val="it-IT"/>
        </w:rPr>
        <w:t>a in data 8.1.2013. La decisione ha accertato</w:t>
      </w:r>
      <w:r w:rsidRPr="000E478A">
        <w:rPr>
          <w:rFonts w:ascii="Comic Sans MS" w:hAnsi="Comic Sans MS"/>
          <w:sz w:val="22"/>
          <w:lang w:val="it-IT"/>
        </w:rPr>
        <w:t xml:space="preserve"> la violazione dell’art. 3 della Convenzione </w:t>
      </w:r>
      <w:r w:rsidR="00263F4D">
        <w:rPr>
          <w:rFonts w:ascii="Comic Sans MS" w:hAnsi="Comic Sans MS"/>
          <w:sz w:val="22"/>
          <w:lang w:val="it-IT"/>
        </w:rPr>
        <w:t>con riferimento</w:t>
      </w:r>
      <w:r w:rsidRPr="000E478A">
        <w:rPr>
          <w:rFonts w:ascii="Comic Sans MS" w:hAnsi="Comic Sans MS"/>
          <w:sz w:val="22"/>
          <w:lang w:val="it-IT"/>
        </w:rPr>
        <w:t xml:space="preserve"> al problema del </w:t>
      </w:r>
      <w:r w:rsidRPr="000E478A">
        <w:rPr>
          <w:rFonts w:ascii="Comic Sans MS" w:hAnsi="Comic Sans MS"/>
          <w:sz w:val="22"/>
          <w:u w:val="single"/>
          <w:lang w:val="it-IT"/>
        </w:rPr>
        <w:t>sovraffollamento carcerario</w:t>
      </w:r>
      <w:r w:rsidRPr="000E478A">
        <w:rPr>
          <w:rFonts w:ascii="Comic Sans MS" w:hAnsi="Comic Sans MS"/>
          <w:sz w:val="22"/>
          <w:lang w:val="it-IT"/>
        </w:rPr>
        <w:t>.</w:t>
      </w:r>
    </w:p>
    <w:p w:rsidR="001529FE" w:rsidRDefault="00604E4F" w:rsidP="004652AF">
      <w:pPr>
        <w:jc w:val="both"/>
        <w:rPr>
          <w:rFonts w:ascii="Comic Sans MS" w:hAnsi="Comic Sans MS"/>
          <w:sz w:val="22"/>
          <w:lang w:val="it-IT"/>
        </w:rPr>
      </w:pPr>
      <w:r>
        <w:rPr>
          <w:rFonts w:ascii="Comic Sans MS" w:hAnsi="Comic Sans MS"/>
          <w:sz w:val="22"/>
          <w:lang w:val="it-IT"/>
        </w:rPr>
        <w:t xml:space="preserve">La sentenza si </w:t>
      </w:r>
      <w:r w:rsidR="00263F4D">
        <w:rPr>
          <w:rFonts w:ascii="Comic Sans MS" w:hAnsi="Comic Sans MS"/>
          <w:sz w:val="22"/>
          <w:lang w:val="it-IT"/>
        </w:rPr>
        <w:t xml:space="preserve">è </w:t>
      </w:r>
      <w:r>
        <w:rPr>
          <w:rFonts w:ascii="Comic Sans MS" w:hAnsi="Comic Sans MS"/>
          <w:sz w:val="22"/>
          <w:lang w:val="it-IT"/>
        </w:rPr>
        <w:t>pronuncia</w:t>
      </w:r>
      <w:r w:rsidR="00263F4D">
        <w:rPr>
          <w:rFonts w:ascii="Comic Sans MS" w:hAnsi="Comic Sans MS"/>
          <w:sz w:val="22"/>
          <w:lang w:val="it-IT"/>
        </w:rPr>
        <w:t>ta</w:t>
      </w:r>
      <w:r w:rsidR="004652AF" w:rsidRPr="000E478A">
        <w:rPr>
          <w:rFonts w:ascii="Comic Sans MS" w:hAnsi="Comic Sans MS"/>
          <w:sz w:val="22"/>
          <w:lang w:val="it-IT"/>
        </w:rPr>
        <w:t xml:space="preserve"> </w:t>
      </w:r>
      <w:r>
        <w:rPr>
          <w:rFonts w:ascii="Comic Sans MS" w:hAnsi="Comic Sans MS"/>
          <w:sz w:val="22"/>
          <w:lang w:val="it-IT"/>
        </w:rPr>
        <w:t>su</w:t>
      </w:r>
      <w:r w:rsidR="004652AF" w:rsidRPr="000E478A">
        <w:rPr>
          <w:rFonts w:ascii="Comic Sans MS" w:hAnsi="Comic Sans MS"/>
          <w:sz w:val="22"/>
          <w:lang w:val="it-IT"/>
        </w:rPr>
        <w:t>l ricorso di sette detenuti, ristretti presso gli istituti di Busto Arsizio e di Piacenza, i quali lamentavano di aver trascorso considerevoli periodi della loro detenzione in celle di 9 mq. condivise con altri due detenuti e di non aver potuto far uso regolarmente delle docce per penuria di acqua calda. Per l’istituto di Piacenza si aggiungeva, inoltre, la mancanza di luce sufficiente nelle celle</w:t>
      </w:r>
      <w:r w:rsidR="001529FE">
        <w:rPr>
          <w:rFonts w:ascii="Comic Sans MS" w:hAnsi="Comic Sans MS"/>
          <w:sz w:val="22"/>
          <w:lang w:val="it-IT"/>
        </w:rPr>
        <w:t>,</w:t>
      </w:r>
      <w:r w:rsidR="004652AF" w:rsidRPr="000E478A">
        <w:rPr>
          <w:rFonts w:ascii="Comic Sans MS" w:hAnsi="Comic Sans MS"/>
          <w:sz w:val="22"/>
          <w:lang w:val="it-IT"/>
        </w:rPr>
        <w:t xml:space="preserve"> a causa delle spesse sbarre poste alle finestre. </w:t>
      </w:r>
    </w:p>
    <w:p w:rsidR="004652AF" w:rsidRPr="000E478A" w:rsidRDefault="00263F4D" w:rsidP="004652AF">
      <w:pPr>
        <w:jc w:val="both"/>
        <w:rPr>
          <w:rFonts w:ascii="Comic Sans MS" w:hAnsi="Comic Sans MS"/>
          <w:sz w:val="22"/>
          <w:szCs w:val="22"/>
          <w:lang w:val="it-IT"/>
        </w:rPr>
      </w:pPr>
      <w:r>
        <w:rPr>
          <w:rFonts w:ascii="Comic Sans MS" w:hAnsi="Comic Sans MS"/>
          <w:sz w:val="22"/>
          <w:szCs w:val="22"/>
          <w:lang w:val="it-IT"/>
        </w:rPr>
        <w:t>La Corte h</w:t>
      </w:r>
      <w:r w:rsidR="004652AF" w:rsidRPr="000E478A">
        <w:rPr>
          <w:rFonts w:ascii="Comic Sans MS" w:hAnsi="Comic Sans MS"/>
          <w:sz w:val="22"/>
          <w:szCs w:val="22"/>
          <w:lang w:val="it-IT"/>
        </w:rPr>
        <w:t>a rilevato che l'essere sottoposto a misure privative della libertà personale, se comporta senz'altro degli inconvenienti, non fa comunque perdere al detenuto il beneficio dei diritti garantiti dalla Convenzione, affermando che “</w:t>
      </w:r>
      <w:r w:rsidR="004652AF" w:rsidRPr="000E478A">
        <w:rPr>
          <w:rFonts w:ascii="Comic Sans MS" w:hAnsi="Comic Sans MS"/>
          <w:i/>
          <w:sz w:val="22"/>
          <w:szCs w:val="22"/>
          <w:lang w:val="it-IT"/>
        </w:rPr>
        <w:t>l’articolo 3 pone a carico delle autorità un obbligo positivo che consiste nell’assicurare che ogni prigioniero sia detenuto in condizioni compatibili con il rispetto della dignità umana, che le modalità di esecuzione della misura non sottopongano l’interessato ad uno stato di sconforto né ad una prova d’intensità che ecceda l’inevitabile livello di sofferenza inerente alla detenzione e che, tenuto conto delle esigenze pratiche della reclusione, la salute e il benessere del detenuto siano assicurati adeguatamente”</w:t>
      </w:r>
      <w:r w:rsidR="004652AF" w:rsidRPr="000E478A">
        <w:rPr>
          <w:rFonts w:ascii="Comic Sans MS" w:hAnsi="Comic Sans MS"/>
          <w:sz w:val="22"/>
          <w:szCs w:val="22"/>
          <w:lang w:val="it-IT"/>
        </w:rPr>
        <w:t>. In p</w:t>
      </w:r>
      <w:r w:rsidR="00C103BA">
        <w:rPr>
          <w:rFonts w:ascii="Comic Sans MS" w:hAnsi="Comic Sans MS"/>
          <w:sz w:val="22"/>
          <w:szCs w:val="22"/>
          <w:lang w:val="it-IT"/>
        </w:rPr>
        <w:t>articolare, h</w:t>
      </w:r>
      <w:r w:rsidR="004652AF" w:rsidRPr="000E478A">
        <w:rPr>
          <w:rFonts w:ascii="Comic Sans MS" w:hAnsi="Comic Sans MS"/>
          <w:sz w:val="22"/>
          <w:szCs w:val="22"/>
          <w:lang w:val="it-IT"/>
        </w:rPr>
        <w:t>a espressamente chiarito che, “</w:t>
      </w:r>
      <w:r w:rsidR="004652AF" w:rsidRPr="000E478A">
        <w:rPr>
          <w:rFonts w:ascii="Comic Sans MS" w:hAnsi="Comic Sans MS"/>
          <w:i/>
          <w:sz w:val="22"/>
          <w:szCs w:val="22"/>
          <w:lang w:val="it-IT"/>
        </w:rPr>
        <w:t>quando il sovraffollamento carcerario raggiunge un certo livello, la mancanza di spazio in un istituto penitenziario può costituire l’elemento centrale da prendere in considerazione nella valutazione della conformità di una data situazione all’articolo 3 della Convenzione”</w:t>
      </w:r>
      <w:r w:rsidR="004652AF" w:rsidRPr="000E478A">
        <w:rPr>
          <w:rFonts w:ascii="Comic Sans MS" w:hAnsi="Comic Sans MS"/>
          <w:sz w:val="22"/>
          <w:szCs w:val="22"/>
          <w:lang w:val="it-IT"/>
        </w:rPr>
        <w:t>.</w:t>
      </w:r>
    </w:p>
    <w:p w:rsidR="004652AF" w:rsidRPr="000E478A" w:rsidRDefault="004652AF" w:rsidP="004652AF">
      <w:pPr>
        <w:pStyle w:val="ParaAttribute9"/>
        <w:spacing w:line="240" w:lineRule="auto"/>
        <w:rPr>
          <w:rFonts w:ascii="Comic Sans MS" w:hAnsi="Comic Sans MS"/>
          <w:sz w:val="22"/>
        </w:rPr>
      </w:pPr>
      <w:r w:rsidRPr="000E478A">
        <w:rPr>
          <w:rFonts w:ascii="Comic Sans MS" w:hAnsi="Comic Sans MS"/>
          <w:sz w:val="22"/>
          <w:szCs w:val="22"/>
        </w:rPr>
        <w:t>La Corte, ne</w:t>
      </w:r>
      <w:r w:rsidR="00263F4D">
        <w:rPr>
          <w:rFonts w:ascii="Comic Sans MS" w:hAnsi="Comic Sans MS"/>
          <w:sz w:val="22"/>
          <w:szCs w:val="22"/>
        </w:rPr>
        <w:t>ll’accertare la violazione, h</w:t>
      </w:r>
      <w:r w:rsidRPr="000E478A">
        <w:rPr>
          <w:rFonts w:ascii="Comic Sans MS" w:hAnsi="Comic Sans MS"/>
          <w:sz w:val="22"/>
          <w:szCs w:val="22"/>
        </w:rPr>
        <w:t>a quindi ritenuto che tutti i ricorrenti non avessero potuto disporre di uno spazio vitale individuale superiore ai 3 m</w:t>
      </w:r>
      <w:r w:rsidRPr="000E478A">
        <w:rPr>
          <w:rFonts w:ascii="Comic Sans MS" w:hAnsi="Comic Sans MS"/>
          <w:sz w:val="22"/>
          <w:szCs w:val="22"/>
          <w:vertAlign w:val="superscript"/>
        </w:rPr>
        <w:t>2</w:t>
      </w:r>
      <w:r w:rsidRPr="000E478A">
        <w:rPr>
          <w:rFonts w:ascii="Comic Sans MS" w:hAnsi="Comic Sans MS"/>
          <w:sz w:val="22"/>
          <w:szCs w:val="22"/>
        </w:rPr>
        <w:t xml:space="preserve">, come tale non conforme ai criteri individuati sia dai rapporti del CPT (Comitato Prevenzione della Tortura) che dalla propria giurisprudenza. </w:t>
      </w:r>
    </w:p>
    <w:p w:rsidR="004652AF" w:rsidRPr="000E478A" w:rsidRDefault="004652AF" w:rsidP="004652AF">
      <w:pPr>
        <w:jc w:val="both"/>
        <w:rPr>
          <w:rFonts w:ascii="Comic Sans MS" w:hAnsi="Comic Sans MS"/>
          <w:sz w:val="22"/>
          <w:lang w:val="it-IT"/>
        </w:rPr>
      </w:pPr>
      <w:r w:rsidRPr="000E478A">
        <w:rPr>
          <w:rFonts w:ascii="Comic Sans MS" w:hAnsi="Comic Sans MS"/>
          <w:sz w:val="22"/>
          <w:lang w:val="it-IT"/>
        </w:rPr>
        <w:t xml:space="preserve">Per ottemperare al dettato della sentenza </w:t>
      </w:r>
      <w:r w:rsidRPr="000E478A">
        <w:rPr>
          <w:rFonts w:ascii="Comic Sans MS" w:hAnsi="Comic Sans MS"/>
          <w:i/>
          <w:sz w:val="22"/>
          <w:lang w:val="it-IT"/>
        </w:rPr>
        <w:t>Torreggiani</w:t>
      </w:r>
      <w:r w:rsidRPr="000E478A">
        <w:rPr>
          <w:rFonts w:ascii="Comic Sans MS" w:hAnsi="Comic Sans MS"/>
          <w:sz w:val="22"/>
          <w:lang w:val="it-IT"/>
        </w:rPr>
        <w:t xml:space="preserve">, il Governo italiano ha elaborato e presentato a Strasburgo un </w:t>
      </w:r>
      <w:r w:rsidRPr="000E478A">
        <w:rPr>
          <w:rFonts w:ascii="Comic Sans MS" w:hAnsi="Comic Sans MS"/>
          <w:sz w:val="22"/>
          <w:u w:val="single"/>
          <w:lang w:val="it-IT"/>
        </w:rPr>
        <w:t>Piano di Azione</w:t>
      </w:r>
      <w:r w:rsidRPr="000E478A">
        <w:rPr>
          <w:rFonts w:ascii="Comic Sans MS" w:hAnsi="Comic Sans MS"/>
          <w:sz w:val="22"/>
          <w:lang w:val="it-IT"/>
        </w:rPr>
        <w:t>, articolato in quattro punti fondamentali:</w:t>
      </w:r>
    </w:p>
    <w:p w:rsidR="004652AF" w:rsidRPr="000E478A" w:rsidRDefault="004652AF" w:rsidP="004652AF">
      <w:pPr>
        <w:widowControl w:val="0"/>
        <w:numPr>
          <w:ilvl w:val="0"/>
          <w:numId w:val="2"/>
        </w:numPr>
        <w:suppressAutoHyphens/>
        <w:ind w:left="284" w:firstLine="0"/>
        <w:jc w:val="both"/>
        <w:rPr>
          <w:rFonts w:ascii="Comic Sans MS" w:hAnsi="Comic Sans MS"/>
          <w:sz w:val="22"/>
          <w:lang w:val="it-IT"/>
        </w:rPr>
      </w:pPr>
      <w:r w:rsidRPr="000E478A">
        <w:rPr>
          <w:rFonts w:ascii="Comic Sans MS" w:hAnsi="Comic Sans MS"/>
          <w:sz w:val="22"/>
          <w:lang w:val="it-IT"/>
        </w:rPr>
        <w:t>Previsione di strumenti di natura normativa volti all’ulteriore riduzione del numero dei detenuti nelle carceri italiane, sia attraverso un contenimento degli ingressi, sia attraverso l’adozione di misure alternative alla detenzione che accompagnino il ritorno del detenuto alla comunità esterna (depenalizzazione o riduzione della pena, limitazione della custodia cautelare in carcere, ampliamento delle misure alternative);</w:t>
      </w:r>
    </w:p>
    <w:p w:rsidR="004652AF" w:rsidRPr="000E478A" w:rsidRDefault="004652AF" w:rsidP="004652AF">
      <w:pPr>
        <w:widowControl w:val="0"/>
        <w:numPr>
          <w:ilvl w:val="0"/>
          <w:numId w:val="2"/>
        </w:numPr>
        <w:suppressAutoHyphens/>
        <w:ind w:left="284" w:firstLine="0"/>
        <w:jc w:val="both"/>
        <w:rPr>
          <w:rFonts w:ascii="Comic Sans MS" w:hAnsi="Comic Sans MS"/>
          <w:sz w:val="22"/>
          <w:lang w:val="it-IT"/>
        </w:rPr>
      </w:pPr>
      <w:r w:rsidRPr="000E478A">
        <w:rPr>
          <w:rFonts w:ascii="Comic Sans MS" w:hAnsi="Comic Sans MS"/>
          <w:sz w:val="22"/>
          <w:lang w:val="it-IT"/>
        </w:rPr>
        <w:t>Adozione di interventi volti a rendere la detenzione più libera all’interno del perimetro carcerario per i detenuti di media e bassa sicurezza, con maggiori opportunità di attività giornaliere, lavoro, formazione, contatti con il mondo esterni</w:t>
      </w:r>
      <w:r w:rsidRPr="000E478A">
        <w:rPr>
          <w:rFonts w:ascii="Comic Sans MS" w:hAnsi="Comic Sans MS"/>
          <w:sz w:val="22"/>
          <w:lang w:val="it-IT" w:eastAsia="uz-Latn-UZ" w:bidi="uz-Latn-UZ"/>
        </w:rPr>
        <w:t>;</w:t>
      </w:r>
    </w:p>
    <w:p w:rsidR="004652AF" w:rsidRPr="000E478A" w:rsidRDefault="004652AF" w:rsidP="004652AF">
      <w:pPr>
        <w:widowControl w:val="0"/>
        <w:numPr>
          <w:ilvl w:val="0"/>
          <w:numId w:val="2"/>
        </w:numPr>
        <w:suppressAutoHyphens/>
        <w:ind w:left="284" w:firstLine="0"/>
        <w:jc w:val="both"/>
        <w:rPr>
          <w:rFonts w:ascii="Comic Sans MS" w:hAnsi="Comic Sans MS"/>
          <w:sz w:val="22"/>
          <w:lang w:val="it-IT"/>
        </w:rPr>
      </w:pPr>
      <w:r w:rsidRPr="000E478A">
        <w:rPr>
          <w:rFonts w:ascii="Comic Sans MS" w:hAnsi="Comic Sans MS"/>
          <w:sz w:val="22"/>
          <w:lang w:val="it-IT"/>
        </w:rPr>
        <w:t>Adozione di interventi in materia di edilizia carceraria, con nuove edificazioni nonché ristrutturazioni del patrimonio esistente, volte a creare 4.500 nuovi posti entr</w:t>
      </w:r>
      <w:r w:rsidR="00604E4F">
        <w:rPr>
          <w:rFonts w:ascii="Comic Sans MS" w:hAnsi="Comic Sans MS"/>
          <w:sz w:val="22"/>
          <w:lang w:val="it-IT"/>
        </w:rPr>
        <w:t>o</w:t>
      </w:r>
      <w:r w:rsidRPr="000E478A">
        <w:rPr>
          <w:rFonts w:ascii="Comic Sans MS" w:hAnsi="Comic Sans MS"/>
          <w:sz w:val="22"/>
          <w:lang w:val="it-IT"/>
        </w:rPr>
        <w:t xml:space="preserve"> il maggio 2014;</w:t>
      </w:r>
    </w:p>
    <w:p w:rsidR="004652AF" w:rsidRPr="000E478A" w:rsidRDefault="004652AF" w:rsidP="004652AF">
      <w:pPr>
        <w:widowControl w:val="0"/>
        <w:numPr>
          <w:ilvl w:val="0"/>
          <w:numId w:val="2"/>
        </w:numPr>
        <w:suppressAutoHyphens/>
        <w:spacing w:line="100" w:lineRule="atLeast"/>
        <w:ind w:left="284" w:firstLine="0"/>
        <w:jc w:val="both"/>
        <w:rPr>
          <w:rFonts w:ascii="Comic Sans MS" w:hAnsi="Comic Sans MS"/>
          <w:sz w:val="22"/>
          <w:lang w:val="it-IT" w:eastAsia="uz-Latn-UZ" w:bidi="uz-Latn-UZ"/>
        </w:rPr>
      </w:pPr>
      <w:r w:rsidRPr="000E478A">
        <w:rPr>
          <w:rFonts w:ascii="Comic Sans MS" w:hAnsi="Comic Sans MS"/>
          <w:sz w:val="22"/>
          <w:lang w:val="it-IT"/>
        </w:rPr>
        <w:t xml:space="preserve">Previsione di misure risarcitorie per chi ha sofferto di trattamenti contrari all’art. 3 e abbia presentato ricorso alla Corte di Strasburgo, mediante la concessione </w:t>
      </w:r>
      <w:r w:rsidR="00C103BA">
        <w:rPr>
          <w:rFonts w:ascii="Comic Sans MS" w:hAnsi="Comic Sans MS"/>
          <w:sz w:val="22"/>
          <w:lang w:val="it-IT"/>
        </w:rPr>
        <w:t>di benefici penitenziari o</w:t>
      </w:r>
      <w:r w:rsidRPr="000E478A">
        <w:rPr>
          <w:rFonts w:ascii="Comic Sans MS" w:hAnsi="Comic Sans MS"/>
          <w:sz w:val="22"/>
          <w:lang w:val="it-IT"/>
        </w:rPr>
        <w:t xml:space="preserve"> sconti di pena.</w:t>
      </w:r>
    </w:p>
    <w:p w:rsidR="004652AF" w:rsidRPr="000E478A" w:rsidRDefault="004652AF" w:rsidP="004652AF">
      <w:pPr>
        <w:jc w:val="both"/>
        <w:rPr>
          <w:rFonts w:ascii="Comic Sans MS" w:hAnsi="Comic Sans MS"/>
          <w:sz w:val="22"/>
          <w:lang w:val="it-IT"/>
        </w:rPr>
      </w:pPr>
      <w:r w:rsidRPr="000E478A">
        <w:rPr>
          <w:rFonts w:ascii="Comic Sans MS" w:hAnsi="Comic Sans MS"/>
          <w:sz w:val="22"/>
          <w:lang w:val="it-IT"/>
        </w:rPr>
        <w:t>L’approvazione del decreto-legge n. 146/2013, convertito dalla legge n. 10/2014, recante “</w:t>
      </w:r>
      <w:r w:rsidRPr="000E478A">
        <w:rPr>
          <w:rFonts w:ascii="Comic Sans MS" w:hAnsi="Comic Sans MS"/>
          <w:i/>
          <w:sz w:val="22"/>
          <w:lang w:val="it-IT"/>
        </w:rPr>
        <w:t>Misure urgenti in tema di tutela dei diritti fondamentali dei detenuti e di riduzione controllata della popolazione carceraria</w:t>
      </w:r>
      <w:r w:rsidRPr="000E478A">
        <w:rPr>
          <w:rFonts w:ascii="Comic Sans MS" w:hAnsi="Comic Sans MS"/>
          <w:sz w:val="22"/>
          <w:lang w:val="it-IT"/>
        </w:rPr>
        <w:t xml:space="preserve">”, tra le cui disposizioni vi è quella che </w:t>
      </w:r>
      <w:r w:rsidR="00F2511C">
        <w:rPr>
          <w:rFonts w:ascii="Comic Sans MS" w:hAnsi="Comic Sans MS"/>
          <w:sz w:val="22"/>
          <w:lang w:val="it-IT"/>
        </w:rPr>
        <w:t>ha introdotto</w:t>
      </w:r>
      <w:r w:rsidRPr="000E478A">
        <w:rPr>
          <w:rFonts w:ascii="Comic Sans MS" w:hAnsi="Comic Sans MS"/>
          <w:sz w:val="22"/>
          <w:lang w:val="it-IT"/>
        </w:rPr>
        <w:t xml:space="preserve"> il rimedio giurisdizionale preventivo, ha costituito un primo passo verso la soluzione del problema del sovraffollamento carcerario e ha ottenuto un’ immediata positiva reazione da parte della Corte EDU.</w:t>
      </w:r>
    </w:p>
    <w:p w:rsidR="00C5781B" w:rsidRPr="000E478A" w:rsidRDefault="004652AF" w:rsidP="004652AF">
      <w:pPr>
        <w:jc w:val="both"/>
        <w:rPr>
          <w:rFonts w:ascii="Comic Sans MS" w:hAnsi="Comic Sans MS"/>
          <w:sz w:val="22"/>
          <w:lang w:val="it-IT"/>
        </w:rPr>
      </w:pPr>
      <w:r w:rsidRPr="000E478A">
        <w:rPr>
          <w:rFonts w:ascii="Comic Sans MS" w:hAnsi="Comic Sans MS"/>
          <w:sz w:val="22"/>
          <w:lang w:val="it-IT"/>
        </w:rPr>
        <w:t>La successiva introduzione del rimedio risarcitorio (decreto-legge n. 92/2014, convertito dalla legge n. 117/2014)</w:t>
      </w:r>
      <w:r w:rsidR="00F2511C">
        <w:rPr>
          <w:rFonts w:ascii="Comic Sans MS" w:hAnsi="Comic Sans MS"/>
          <w:sz w:val="22"/>
          <w:lang w:val="it-IT"/>
        </w:rPr>
        <w:t>,</w:t>
      </w:r>
      <w:r w:rsidRPr="000E478A">
        <w:rPr>
          <w:rFonts w:ascii="Comic Sans MS" w:hAnsi="Comic Sans MS"/>
          <w:sz w:val="22"/>
          <w:lang w:val="it-IT"/>
        </w:rPr>
        <w:t xml:space="preserve"> a disposizione di coloro che stanno scontando o abbiano scontato un periodo di detenzione in carcere in condizioni non compatibili con l’art. 3 della Convenzione, ha poi colmato altra lacuna del nostro ordinamento.</w:t>
      </w:r>
    </w:p>
    <w:p w:rsidR="00C5781B" w:rsidRPr="000E478A" w:rsidRDefault="00C5781B" w:rsidP="004652AF">
      <w:pPr>
        <w:jc w:val="both"/>
        <w:rPr>
          <w:rFonts w:ascii="Comic Sans MS" w:hAnsi="Comic Sans MS"/>
          <w:sz w:val="22"/>
          <w:lang w:val="it-IT"/>
        </w:rPr>
      </w:pPr>
      <w:r w:rsidRPr="000E478A">
        <w:rPr>
          <w:rFonts w:ascii="Comic Sans MS" w:hAnsi="Comic Sans MS"/>
          <w:sz w:val="22"/>
          <w:lang w:val="it-IT"/>
        </w:rPr>
        <w:t xml:space="preserve">Il Comitato dei Ministri – </w:t>
      </w:r>
      <w:r w:rsidR="001A4CB3">
        <w:rPr>
          <w:rFonts w:ascii="Comic Sans MS" w:hAnsi="Comic Sans MS"/>
          <w:sz w:val="22"/>
          <w:lang w:val="it-IT"/>
        </w:rPr>
        <w:t>a seguito della presentazione del Bilancio d’Azione in data</w:t>
      </w:r>
      <w:r w:rsidRPr="000E478A">
        <w:rPr>
          <w:rFonts w:ascii="Comic Sans MS" w:hAnsi="Comic Sans MS"/>
          <w:sz w:val="22"/>
          <w:lang w:val="it-IT"/>
        </w:rPr>
        <w:t xml:space="preserve"> 20.11.2015 – ha accolto positivamente l’adozione del complesso di misure interne preventive e compensatorie e constatato la loro effettività e accessibilità; ha altresì verificato l’avvenuto miglioramento delle condizioni materiali di detenzione, </w:t>
      </w:r>
      <w:r w:rsidR="00F2511C">
        <w:rPr>
          <w:rFonts w:ascii="Comic Sans MS" w:hAnsi="Comic Sans MS"/>
          <w:sz w:val="22"/>
          <w:lang w:val="it-IT"/>
        </w:rPr>
        <w:t xml:space="preserve">giudicate </w:t>
      </w:r>
      <w:r w:rsidRPr="000E478A">
        <w:rPr>
          <w:rFonts w:ascii="Comic Sans MS" w:hAnsi="Comic Sans MS"/>
          <w:sz w:val="22"/>
          <w:lang w:val="it-IT"/>
        </w:rPr>
        <w:t>conformi agli standard della Convenzione e del Comitato per la Prevenzione della Tortura, disponendo la chiusura della procedura di monitoraggio</w:t>
      </w:r>
      <w:r w:rsidR="001A4CB3">
        <w:rPr>
          <w:rFonts w:ascii="Comic Sans MS" w:hAnsi="Comic Sans MS"/>
          <w:sz w:val="22"/>
          <w:lang w:val="it-IT"/>
        </w:rPr>
        <w:t xml:space="preserve"> (Risoluzione finale CM/ResDH(2016)28)</w:t>
      </w:r>
      <w:r w:rsidRPr="000E478A">
        <w:rPr>
          <w:rFonts w:ascii="Comic Sans MS" w:hAnsi="Comic Sans MS"/>
          <w:sz w:val="22"/>
          <w:lang w:val="it-IT"/>
        </w:rPr>
        <w:t>.</w:t>
      </w:r>
    </w:p>
    <w:p w:rsidR="004652AF" w:rsidRPr="000E478A" w:rsidRDefault="00F43B9B" w:rsidP="004652AF">
      <w:pPr>
        <w:jc w:val="both"/>
        <w:rPr>
          <w:rFonts w:ascii="Comic Sans MS" w:hAnsi="Comic Sans MS"/>
          <w:sz w:val="22"/>
          <w:lang w:val="it-IT"/>
        </w:rPr>
      </w:pPr>
      <w:r w:rsidRPr="000E478A">
        <w:rPr>
          <w:rFonts w:ascii="Comic Sans MS" w:hAnsi="Comic Sans MS"/>
          <w:sz w:val="22"/>
          <w:lang w:val="it-IT"/>
        </w:rPr>
        <w:t>Sul fronte dell</w:t>
      </w:r>
      <w:r w:rsidR="004652AF" w:rsidRPr="000E478A">
        <w:rPr>
          <w:rFonts w:ascii="Comic Sans MS" w:hAnsi="Comic Sans MS"/>
          <w:sz w:val="22"/>
          <w:lang w:val="it-IT"/>
        </w:rPr>
        <w:t>a Corte europea</w:t>
      </w:r>
      <w:r w:rsidR="00604E4F">
        <w:rPr>
          <w:rFonts w:ascii="Comic Sans MS" w:hAnsi="Comic Sans MS"/>
          <w:sz w:val="22"/>
          <w:lang w:val="it-IT"/>
        </w:rPr>
        <w:t xml:space="preserve"> si sono avuti immediati benefici</w:t>
      </w:r>
      <w:r w:rsidR="004652AF" w:rsidRPr="000E478A">
        <w:rPr>
          <w:rFonts w:ascii="Comic Sans MS" w:hAnsi="Comic Sans MS"/>
          <w:sz w:val="22"/>
          <w:lang w:val="it-IT"/>
        </w:rPr>
        <w:t xml:space="preserve">, </w:t>
      </w:r>
      <w:r w:rsidR="00604E4F">
        <w:rPr>
          <w:rFonts w:ascii="Comic Sans MS" w:hAnsi="Comic Sans MS"/>
          <w:sz w:val="22"/>
          <w:lang w:val="it-IT"/>
        </w:rPr>
        <w:t xml:space="preserve">poiché con </w:t>
      </w:r>
      <w:r w:rsidR="004652AF" w:rsidRPr="000E478A">
        <w:rPr>
          <w:rFonts w:ascii="Comic Sans MS" w:hAnsi="Comic Sans MS"/>
          <w:sz w:val="22"/>
          <w:lang w:val="it-IT"/>
        </w:rPr>
        <w:t xml:space="preserve">le sentenze </w:t>
      </w:r>
      <w:r w:rsidR="004652AF" w:rsidRPr="00604E4F">
        <w:rPr>
          <w:rFonts w:ascii="Comic Sans MS" w:hAnsi="Comic Sans MS"/>
          <w:i/>
          <w:sz w:val="22"/>
          <w:lang w:val="it-IT"/>
        </w:rPr>
        <w:t>Stella e altri c</w:t>
      </w:r>
      <w:r w:rsidR="00C103BA">
        <w:rPr>
          <w:rFonts w:ascii="Comic Sans MS" w:hAnsi="Comic Sans MS"/>
          <w:i/>
          <w:sz w:val="22"/>
          <w:lang w:val="it-IT"/>
        </w:rPr>
        <w:t>/</w:t>
      </w:r>
      <w:r w:rsidR="004652AF" w:rsidRPr="00604E4F">
        <w:rPr>
          <w:rFonts w:ascii="Comic Sans MS" w:hAnsi="Comic Sans MS"/>
          <w:i/>
          <w:sz w:val="22"/>
          <w:lang w:val="it-IT"/>
        </w:rPr>
        <w:t xml:space="preserve"> Italia</w:t>
      </w:r>
      <w:r w:rsidR="004652AF" w:rsidRPr="00604E4F">
        <w:rPr>
          <w:rFonts w:ascii="Comic Sans MS" w:hAnsi="Comic Sans MS"/>
          <w:sz w:val="22"/>
          <w:lang w:val="it-IT"/>
        </w:rPr>
        <w:t xml:space="preserve"> e </w:t>
      </w:r>
      <w:r w:rsidR="004652AF" w:rsidRPr="00604E4F">
        <w:rPr>
          <w:rFonts w:ascii="Comic Sans MS" w:hAnsi="Comic Sans MS"/>
          <w:i/>
          <w:sz w:val="22"/>
          <w:lang w:val="it-IT"/>
        </w:rPr>
        <w:t>Rexhepi e altri c</w:t>
      </w:r>
      <w:r w:rsidR="00C103BA">
        <w:rPr>
          <w:rFonts w:ascii="Comic Sans MS" w:hAnsi="Comic Sans MS"/>
          <w:i/>
          <w:sz w:val="22"/>
          <w:lang w:val="it-IT"/>
        </w:rPr>
        <w:t>/</w:t>
      </w:r>
      <w:r w:rsidR="004652AF" w:rsidRPr="00604E4F">
        <w:rPr>
          <w:rFonts w:ascii="Comic Sans MS" w:hAnsi="Comic Sans MS"/>
          <w:i/>
          <w:sz w:val="22"/>
          <w:lang w:val="it-IT"/>
        </w:rPr>
        <w:t xml:space="preserve"> Italia</w:t>
      </w:r>
      <w:r w:rsidR="004652AF" w:rsidRPr="000E478A">
        <w:rPr>
          <w:rFonts w:ascii="Comic Sans MS" w:hAnsi="Comic Sans MS"/>
          <w:sz w:val="22"/>
          <w:lang w:val="it-IT"/>
        </w:rPr>
        <w:t xml:space="preserve">, </w:t>
      </w:r>
      <w:r w:rsidRPr="000E478A">
        <w:rPr>
          <w:rFonts w:ascii="Comic Sans MS" w:hAnsi="Comic Sans MS"/>
          <w:sz w:val="22"/>
          <w:lang w:val="it-IT"/>
        </w:rPr>
        <w:t>è stato dato atto</w:t>
      </w:r>
      <w:r w:rsidR="004652AF" w:rsidRPr="000E478A">
        <w:rPr>
          <w:rFonts w:ascii="Comic Sans MS" w:hAnsi="Comic Sans MS"/>
          <w:sz w:val="22"/>
          <w:lang w:val="it-IT"/>
        </w:rPr>
        <w:t xml:space="preserve"> delle misure adottate dal Governo italiano, ritenendole ampiamente soddisfacenti e rilevando “</w:t>
      </w:r>
      <w:r w:rsidR="004652AF" w:rsidRPr="000E478A">
        <w:rPr>
          <w:rFonts w:ascii="Comic Sans MS" w:hAnsi="Comic Sans MS"/>
          <w:i/>
          <w:sz w:val="22"/>
          <w:lang w:val="it-IT"/>
        </w:rPr>
        <w:t xml:space="preserve">con interesse che lo Stato convenuto, conformemente alle raccomandazioni del Comitato dei Ministri del Consiglio d’Europa e alle dichiarazioni fatte all’esito delle Conferenze di Interlaken, di Izmir e di Brighton, ha adempiuto al proprio ruolo nel sistema della Convenzione risolvendo questo genere di problemi a livello nazionale, riconoscendo così alle persone interessate i diritti e le libertà definiti nella Convenzione, conformemente all’articolo 1 della Convenzione, offrendo loro una riparazione più rapida e alleggerendo il carico di lavoro della Corte che, altrimenti, dovrebbe esaminare tantissimi ricorsi sostanzialmente simili”. </w:t>
      </w:r>
    </w:p>
    <w:p w:rsidR="004652AF" w:rsidRPr="00604E4F" w:rsidRDefault="004652AF" w:rsidP="004652AF">
      <w:pPr>
        <w:jc w:val="both"/>
        <w:rPr>
          <w:rFonts w:ascii="Comic Sans MS" w:hAnsi="Comic Sans MS"/>
          <w:sz w:val="22"/>
          <w:lang w:val="it-IT"/>
        </w:rPr>
      </w:pPr>
      <w:r w:rsidRPr="000E478A">
        <w:rPr>
          <w:rFonts w:ascii="Comic Sans MS" w:hAnsi="Comic Sans MS"/>
          <w:sz w:val="22"/>
          <w:lang w:val="it-IT"/>
        </w:rPr>
        <w:t>La CEDU ha, conseguentemente, dichiarato irricevibili i ri</w:t>
      </w:r>
      <w:r w:rsidR="00F2511C">
        <w:rPr>
          <w:rFonts w:ascii="Comic Sans MS" w:hAnsi="Comic Sans MS"/>
          <w:sz w:val="22"/>
          <w:lang w:val="it-IT"/>
        </w:rPr>
        <w:t>corsi, invitando i ricorrenti a</w:t>
      </w:r>
      <w:r w:rsidRPr="000E478A">
        <w:rPr>
          <w:rFonts w:ascii="Comic Sans MS" w:hAnsi="Comic Sans MS"/>
          <w:sz w:val="22"/>
          <w:lang w:val="it-IT"/>
        </w:rPr>
        <w:t xml:space="preserve"> esperire preventivamente le vie di ricorso interno introdotte</w:t>
      </w:r>
      <w:r w:rsidR="00F2511C">
        <w:rPr>
          <w:rFonts w:ascii="Comic Sans MS" w:hAnsi="Comic Sans MS"/>
          <w:sz w:val="22"/>
          <w:lang w:val="it-IT"/>
        </w:rPr>
        <w:t xml:space="preserve"> con la Legge n. 10/2014</w:t>
      </w:r>
      <w:r w:rsidRPr="000E478A">
        <w:rPr>
          <w:rFonts w:ascii="Comic Sans MS" w:hAnsi="Comic Sans MS"/>
          <w:sz w:val="22"/>
          <w:lang w:val="it-IT"/>
        </w:rPr>
        <w:t>.</w:t>
      </w:r>
      <w:r w:rsidR="00604E4F">
        <w:rPr>
          <w:rFonts w:ascii="Comic Sans MS" w:hAnsi="Comic Sans MS"/>
          <w:sz w:val="22"/>
          <w:lang w:val="it-IT"/>
        </w:rPr>
        <w:t xml:space="preserve"> N</w:t>
      </w:r>
      <w:r w:rsidRPr="000E478A">
        <w:rPr>
          <w:rFonts w:ascii="Comic Sans MS" w:hAnsi="Comic Sans MS"/>
          <w:sz w:val="22"/>
          <w:lang w:val="it-IT"/>
        </w:rPr>
        <w:t xml:space="preserve">ei mesi di ottobre e novembre 2014, la Corte europea ha informato il Governo italiano dell’adozione di </w:t>
      </w:r>
      <w:r w:rsidRPr="00604E4F">
        <w:rPr>
          <w:rFonts w:ascii="Comic Sans MS" w:hAnsi="Comic Sans MS"/>
          <w:sz w:val="22"/>
          <w:lang w:val="it-IT"/>
        </w:rPr>
        <w:t xml:space="preserve">tre decisioni di irricevibilità per mancato esaurimento delle vie di ricorso interno (casi </w:t>
      </w:r>
      <w:r w:rsidRPr="00604E4F">
        <w:rPr>
          <w:rFonts w:ascii="Comic Sans MS" w:hAnsi="Comic Sans MS"/>
          <w:i/>
          <w:sz w:val="22"/>
          <w:lang w:val="it-IT"/>
        </w:rPr>
        <w:t>Ueltzhoffer e altri c</w:t>
      </w:r>
      <w:r w:rsidR="00C667AF">
        <w:rPr>
          <w:rFonts w:ascii="Comic Sans MS" w:hAnsi="Comic Sans MS"/>
          <w:i/>
          <w:sz w:val="22"/>
          <w:lang w:val="it-IT"/>
        </w:rPr>
        <w:t>/</w:t>
      </w:r>
      <w:r w:rsidRPr="00604E4F">
        <w:rPr>
          <w:rFonts w:ascii="Comic Sans MS" w:hAnsi="Comic Sans MS"/>
          <w:i/>
          <w:sz w:val="22"/>
          <w:lang w:val="it-IT"/>
        </w:rPr>
        <w:t xml:space="preserve"> Italia</w:t>
      </w:r>
      <w:r w:rsidRPr="00604E4F">
        <w:rPr>
          <w:rFonts w:ascii="Comic Sans MS" w:hAnsi="Comic Sans MS"/>
          <w:sz w:val="22"/>
          <w:lang w:val="it-IT"/>
        </w:rPr>
        <w:t xml:space="preserve">; </w:t>
      </w:r>
      <w:r w:rsidRPr="00604E4F">
        <w:rPr>
          <w:rFonts w:ascii="Comic Sans MS" w:hAnsi="Comic Sans MS"/>
          <w:i/>
          <w:sz w:val="22"/>
          <w:lang w:val="it-IT"/>
        </w:rPr>
        <w:t>Cantoni e altri c</w:t>
      </w:r>
      <w:r w:rsidR="00C667AF">
        <w:rPr>
          <w:rFonts w:ascii="Comic Sans MS" w:hAnsi="Comic Sans MS"/>
          <w:i/>
          <w:sz w:val="22"/>
          <w:lang w:val="it-IT"/>
        </w:rPr>
        <w:t>/</w:t>
      </w:r>
      <w:r w:rsidRPr="00604E4F">
        <w:rPr>
          <w:rFonts w:ascii="Comic Sans MS" w:hAnsi="Comic Sans MS"/>
          <w:sz w:val="22"/>
          <w:lang w:val="it-IT"/>
        </w:rPr>
        <w:t xml:space="preserve"> </w:t>
      </w:r>
      <w:r w:rsidRPr="00604E4F">
        <w:rPr>
          <w:rFonts w:ascii="Comic Sans MS" w:hAnsi="Comic Sans MS"/>
          <w:i/>
          <w:sz w:val="22"/>
          <w:lang w:val="it-IT"/>
        </w:rPr>
        <w:t>Italia</w:t>
      </w:r>
      <w:r w:rsidRPr="00604E4F">
        <w:rPr>
          <w:rFonts w:ascii="Comic Sans MS" w:hAnsi="Comic Sans MS"/>
          <w:sz w:val="22"/>
          <w:lang w:val="it-IT"/>
        </w:rPr>
        <w:t xml:space="preserve"> e </w:t>
      </w:r>
      <w:r w:rsidRPr="00604E4F">
        <w:rPr>
          <w:rFonts w:ascii="Comic Sans MS" w:hAnsi="Comic Sans MS"/>
          <w:i/>
          <w:sz w:val="22"/>
          <w:lang w:val="it-IT"/>
        </w:rPr>
        <w:t>Tutti e altri c</w:t>
      </w:r>
      <w:r w:rsidR="00C667AF">
        <w:rPr>
          <w:rFonts w:ascii="Comic Sans MS" w:hAnsi="Comic Sans MS"/>
          <w:i/>
          <w:sz w:val="22"/>
          <w:lang w:val="it-IT"/>
        </w:rPr>
        <w:t>/</w:t>
      </w:r>
      <w:r w:rsidRPr="00604E4F">
        <w:rPr>
          <w:rFonts w:ascii="Comic Sans MS" w:hAnsi="Comic Sans MS"/>
          <w:sz w:val="22"/>
          <w:lang w:val="it-IT"/>
        </w:rPr>
        <w:t xml:space="preserve"> </w:t>
      </w:r>
      <w:r w:rsidRPr="00604E4F">
        <w:rPr>
          <w:rFonts w:ascii="Comic Sans MS" w:hAnsi="Comic Sans MS"/>
          <w:i/>
          <w:sz w:val="22"/>
          <w:lang w:val="it-IT"/>
        </w:rPr>
        <w:t>Italia</w:t>
      </w:r>
      <w:r w:rsidRPr="00604E4F">
        <w:rPr>
          <w:rFonts w:ascii="Comic Sans MS" w:hAnsi="Comic Sans MS"/>
          <w:sz w:val="22"/>
          <w:lang w:val="it-IT"/>
        </w:rPr>
        <w:t xml:space="preserve">) riguardanti n. 3.564 ricorsi in materia di sovraffollamento carcerario. </w:t>
      </w:r>
    </w:p>
    <w:p w:rsidR="004652AF" w:rsidRPr="000E478A" w:rsidRDefault="004652AF" w:rsidP="004652AF">
      <w:pPr>
        <w:jc w:val="both"/>
        <w:rPr>
          <w:rFonts w:ascii="Comic Sans MS" w:hAnsi="Comic Sans MS"/>
          <w:sz w:val="22"/>
          <w:lang w:val="it-IT"/>
        </w:rPr>
      </w:pPr>
      <w:r w:rsidRPr="000E478A">
        <w:rPr>
          <w:rFonts w:ascii="Comic Sans MS" w:hAnsi="Comic Sans MS"/>
          <w:sz w:val="22"/>
          <w:lang w:val="it-IT"/>
        </w:rPr>
        <w:t>In concreto, la Corte ha azzerato il contenzioso seriale pendente con lo Stato italiano con tre decisioni emesse in composizione di giudice unico, immediatamente definitive, chiu</w:t>
      </w:r>
      <w:r w:rsidR="00604E4F">
        <w:rPr>
          <w:rFonts w:ascii="Comic Sans MS" w:hAnsi="Comic Sans MS"/>
          <w:sz w:val="22"/>
          <w:lang w:val="it-IT"/>
        </w:rPr>
        <w:t xml:space="preserve">dendo </w:t>
      </w:r>
      <w:r w:rsidRPr="000E478A">
        <w:rPr>
          <w:rFonts w:ascii="Comic Sans MS" w:hAnsi="Comic Sans MS"/>
          <w:sz w:val="22"/>
          <w:lang w:val="it-IT"/>
        </w:rPr>
        <w:t>positivamente, pertanto, la pendenza dinanzi alla Corte dei casi concernenti il sovraffollamento carcerario.</w:t>
      </w:r>
    </w:p>
    <w:p w:rsidR="004652AF" w:rsidRPr="000E478A" w:rsidRDefault="004652AF" w:rsidP="004652AF">
      <w:pPr>
        <w:jc w:val="both"/>
        <w:rPr>
          <w:rFonts w:ascii="Comic Sans MS" w:hAnsi="Comic Sans MS"/>
          <w:sz w:val="22"/>
          <w:lang w:val="it-IT"/>
        </w:rPr>
      </w:pPr>
    </w:p>
    <w:p w:rsidR="00263F4D" w:rsidRDefault="003B46EB" w:rsidP="009C28D5">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Va brevemente menzionata anche </w:t>
      </w:r>
      <w:r w:rsidR="005A20CC">
        <w:rPr>
          <w:rFonts w:ascii="Comic Sans MS" w:hAnsi="Comic Sans MS" w:cstheme="minorBidi"/>
          <w:sz w:val="22"/>
          <w:szCs w:val="24"/>
          <w:lang w:val="it-IT" w:eastAsia="en-US"/>
        </w:rPr>
        <w:t>l’</w:t>
      </w:r>
      <w:r>
        <w:rPr>
          <w:rFonts w:ascii="Comic Sans MS" w:hAnsi="Comic Sans MS" w:cstheme="minorBidi"/>
          <w:sz w:val="22"/>
          <w:szCs w:val="24"/>
          <w:lang w:val="it-IT" w:eastAsia="en-US"/>
        </w:rPr>
        <w:t>altra sentenza pilota</w:t>
      </w:r>
      <w:r w:rsidR="005A20CC">
        <w:rPr>
          <w:rFonts w:ascii="Comic Sans MS" w:hAnsi="Comic Sans MS" w:cstheme="minorBidi"/>
          <w:sz w:val="22"/>
          <w:szCs w:val="24"/>
          <w:lang w:val="it-IT" w:eastAsia="en-US"/>
        </w:rPr>
        <w:t xml:space="preserve"> emessa nel caso</w:t>
      </w:r>
      <w:r>
        <w:rPr>
          <w:rFonts w:ascii="Comic Sans MS" w:hAnsi="Comic Sans MS" w:cstheme="minorBidi"/>
          <w:sz w:val="22"/>
          <w:szCs w:val="24"/>
          <w:lang w:val="it-IT" w:eastAsia="en-US"/>
        </w:rPr>
        <w:t xml:space="preserve"> </w:t>
      </w:r>
      <w:r w:rsidR="005A20CC" w:rsidRPr="003B3864">
        <w:rPr>
          <w:rFonts w:ascii="Comic Sans MS" w:hAnsi="Comic Sans MS" w:cstheme="minorBidi"/>
          <w:b/>
          <w:i/>
          <w:sz w:val="22"/>
          <w:szCs w:val="24"/>
          <w:lang w:val="it-IT" w:eastAsia="en-US"/>
        </w:rPr>
        <w:t>M.C. e altr</w:t>
      </w:r>
      <w:r w:rsidR="004C3CB0">
        <w:rPr>
          <w:rFonts w:ascii="Comic Sans MS" w:hAnsi="Comic Sans MS" w:cstheme="minorBidi"/>
          <w:b/>
          <w:i/>
          <w:sz w:val="22"/>
          <w:szCs w:val="24"/>
          <w:lang w:val="it-IT" w:eastAsia="en-US"/>
        </w:rPr>
        <w:t>i</w:t>
      </w:r>
      <w:r w:rsidR="005A20CC" w:rsidRPr="003B3864">
        <w:rPr>
          <w:rFonts w:ascii="Comic Sans MS" w:hAnsi="Comic Sans MS" w:cstheme="minorBidi"/>
          <w:b/>
          <w:i/>
          <w:sz w:val="22"/>
          <w:szCs w:val="24"/>
          <w:lang w:val="it-IT" w:eastAsia="en-US"/>
        </w:rPr>
        <w:t xml:space="preserve"> c/ Italia</w:t>
      </w:r>
      <w:r w:rsidR="005A20CC">
        <w:rPr>
          <w:rFonts w:ascii="Comic Sans MS" w:hAnsi="Comic Sans MS" w:cstheme="minorBidi"/>
          <w:sz w:val="22"/>
          <w:szCs w:val="24"/>
          <w:lang w:val="it-IT" w:eastAsia="en-US"/>
        </w:rPr>
        <w:t xml:space="preserve"> il 3.9.2013</w:t>
      </w:r>
      <w:r w:rsidR="00095789">
        <w:rPr>
          <w:rFonts w:ascii="Comic Sans MS" w:hAnsi="Comic Sans MS" w:cstheme="minorBidi"/>
          <w:sz w:val="22"/>
          <w:szCs w:val="24"/>
          <w:lang w:val="it-IT" w:eastAsia="en-US"/>
        </w:rPr>
        <w:t>, che ha ritenuto violat</w:t>
      </w:r>
      <w:r w:rsidR="00C667AF">
        <w:rPr>
          <w:rFonts w:ascii="Comic Sans MS" w:hAnsi="Comic Sans MS" w:cstheme="minorBidi"/>
          <w:sz w:val="22"/>
          <w:szCs w:val="24"/>
          <w:lang w:val="it-IT" w:eastAsia="en-US"/>
        </w:rPr>
        <w:t>i</w:t>
      </w:r>
      <w:r w:rsidR="00095789">
        <w:rPr>
          <w:rFonts w:ascii="Comic Sans MS" w:hAnsi="Comic Sans MS" w:cstheme="minorBidi"/>
          <w:sz w:val="22"/>
          <w:szCs w:val="24"/>
          <w:lang w:val="it-IT" w:eastAsia="en-US"/>
        </w:rPr>
        <w:t xml:space="preserve"> gli </w:t>
      </w:r>
      <w:r w:rsidR="00263F4D">
        <w:rPr>
          <w:rFonts w:ascii="Comic Sans MS" w:hAnsi="Comic Sans MS" w:cstheme="minorBidi"/>
          <w:sz w:val="22"/>
          <w:szCs w:val="24"/>
          <w:lang w:val="it-IT" w:eastAsia="en-US"/>
        </w:rPr>
        <w:t>art</w:t>
      </w:r>
      <w:r w:rsidR="00095789">
        <w:rPr>
          <w:rFonts w:ascii="Comic Sans MS" w:hAnsi="Comic Sans MS" w:cstheme="minorBidi"/>
          <w:sz w:val="22"/>
          <w:szCs w:val="24"/>
          <w:lang w:val="it-IT" w:eastAsia="en-US"/>
        </w:rPr>
        <w:t>icoli 6,</w:t>
      </w:r>
      <w:r w:rsidR="00263F4D">
        <w:rPr>
          <w:rFonts w:ascii="Comic Sans MS" w:hAnsi="Comic Sans MS" w:cstheme="minorBidi"/>
          <w:sz w:val="22"/>
          <w:szCs w:val="24"/>
          <w:lang w:val="it-IT" w:eastAsia="en-US"/>
        </w:rPr>
        <w:t xml:space="preserve"> 1 Protocollo n.1</w:t>
      </w:r>
      <w:r w:rsidR="00095789">
        <w:rPr>
          <w:rFonts w:ascii="Comic Sans MS" w:hAnsi="Comic Sans MS" w:cstheme="minorBidi"/>
          <w:sz w:val="22"/>
          <w:szCs w:val="24"/>
          <w:lang w:val="it-IT" w:eastAsia="en-US"/>
        </w:rPr>
        <w:t xml:space="preserve"> e 14 in combinato disposto con l’art. 1 Protocollo 1</w:t>
      </w:r>
      <w:r w:rsidR="00263F4D">
        <w:rPr>
          <w:rFonts w:ascii="Comic Sans MS" w:hAnsi="Comic Sans MS" w:cstheme="minorBidi"/>
          <w:sz w:val="22"/>
          <w:szCs w:val="24"/>
          <w:lang w:val="it-IT" w:eastAsia="en-US"/>
        </w:rPr>
        <w:t xml:space="preserve"> della Convenzione a causa</w:t>
      </w:r>
      <w:r w:rsidR="005A20CC">
        <w:rPr>
          <w:rFonts w:ascii="Comic Sans MS" w:hAnsi="Comic Sans MS" w:cstheme="minorBidi"/>
          <w:sz w:val="22"/>
          <w:szCs w:val="24"/>
          <w:lang w:val="it-IT" w:eastAsia="en-US"/>
        </w:rPr>
        <w:t xml:space="preserve"> </w:t>
      </w:r>
      <w:r w:rsidR="00263F4D">
        <w:rPr>
          <w:rFonts w:ascii="Comic Sans MS" w:hAnsi="Comic Sans MS" w:cstheme="minorBidi"/>
          <w:sz w:val="22"/>
          <w:szCs w:val="24"/>
          <w:lang w:val="it-IT" w:eastAsia="en-US"/>
        </w:rPr>
        <w:t>de</w:t>
      </w:r>
      <w:r w:rsidR="005A20CC">
        <w:rPr>
          <w:rFonts w:ascii="Comic Sans MS" w:hAnsi="Comic Sans MS" w:cstheme="minorBidi"/>
          <w:sz w:val="22"/>
          <w:szCs w:val="24"/>
          <w:lang w:val="it-IT" w:eastAsia="en-US"/>
        </w:rPr>
        <w:t>l mancato adeguamento dell’indennizzo attribuito dalla legge n. 210/1992 in favore dei soggetti danneggiati dalle emotrasfusioni</w:t>
      </w:r>
      <w:r w:rsidR="00263F4D">
        <w:rPr>
          <w:rFonts w:ascii="Comic Sans MS" w:hAnsi="Comic Sans MS" w:cstheme="minorBidi"/>
          <w:sz w:val="22"/>
          <w:szCs w:val="24"/>
          <w:lang w:val="it-IT" w:eastAsia="en-US"/>
        </w:rPr>
        <w:t>,</w:t>
      </w:r>
      <w:r w:rsidR="005A20CC">
        <w:rPr>
          <w:rFonts w:ascii="Comic Sans MS" w:hAnsi="Comic Sans MS" w:cstheme="minorBidi"/>
          <w:sz w:val="22"/>
          <w:szCs w:val="24"/>
          <w:lang w:val="it-IT" w:eastAsia="en-US"/>
        </w:rPr>
        <w:t xml:space="preserve"> </w:t>
      </w:r>
      <w:r w:rsidR="00263F4D">
        <w:rPr>
          <w:rFonts w:ascii="Comic Sans MS" w:hAnsi="Comic Sans MS" w:cstheme="minorBidi"/>
          <w:sz w:val="22"/>
          <w:szCs w:val="24"/>
          <w:lang w:val="it-IT" w:eastAsia="en-US"/>
        </w:rPr>
        <w:t>l</w:t>
      </w:r>
      <w:r w:rsidR="005A20CC">
        <w:rPr>
          <w:rFonts w:ascii="Comic Sans MS" w:hAnsi="Comic Sans MS" w:cstheme="minorBidi"/>
          <w:sz w:val="22"/>
          <w:szCs w:val="24"/>
          <w:lang w:val="it-IT" w:eastAsia="en-US"/>
        </w:rPr>
        <w:t xml:space="preserve">a </w:t>
      </w:r>
      <w:r w:rsidR="00263F4D">
        <w:rPr>
          <w:rFonts w:ascii="Comic Sans MS" w:hAnsi="Comic Sans MS" w:cstheme="minorBidi"/>
          <w:sz w:val="22"/>
          <w:szCs w:val="24"/>
          <w:lang w:val="it-IT" w:eastAsia="en-US"/>
        </w:rPr>
        <w:t>cui rivalutazione era stata bloccata da</w:t>
      </w:r>
      <w:r w:rsidR="005A20CC">
        <w:rPr>
          <w:rFonts w:ascii="Comic Sans MS" w:hAnsi="Comic Sans MS" w:cstheme="minorBidi"/>
          <w:sz w:val="22"/>
          <w:szCs w:val="24"/>
          <w:lang w:val="it-IT" w:eastAsia="en-US"/>
        </w:rPr>
        <w:t xml:space="preserve"> una legge d’interpretazione autentica</w:t>
      </w:r>
      <w:r w:rsidR="00263F4D">
        <w:rPr>
          <w:rFonts w:ascii="Comic Sans MS" w:hAnsi="Comic Sans MS" w:cstheme="minorBidi"/>
          <w:sz w:val="22"/>
          <w:szCs w:val="24"/>
          <w:lang w:val="it-IT" w:eastAsia="en-US"/>
        </w:rPr>
        <w:t>.</w:t>
      </w:r>
    </w:p>
    <w:p w:rsidR="00732AA7" w:rsidRDefault="005A20CC" w:rsidP="009C28D5">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A livello nazionale</w:t>
      </w:r>
      <w:r w:rsidR="00263F4D">
        <w:rPr>
          <w:rFonts w:ascii="Comic Sans MS" w:hAnsi="Comic Sans MS" w:cstheme="minorBidi"/>
          <w:sz w:val="22"/>
          <w:szCs w:val="24"/>
          <w:lang w:val="it-IT" w:eastAsia="en-US"/>
        </w:rPr>
        <w:t>,</w:t>
      </w:r>
      <w:r>
        <w:rPr>
          <w:rFonts w:ascii="Comic Sans MS" w:hAnsi="Comic Sans MS" w:cstheme="minorBidi"/>
          <w:sz w:val="22"/>
          <w:szCs w:val="24"/>
          <w:lang w:val="it-IT" w:eastAsia="en-US"/>
        </w:rPr>
        <w:t xml:space="preserve"> la questione è stata risolta con la sentenza della Corte Costituzionale m. 293/2011, che ha dichiarato illegittima la </w:t>
      </w:r>
      <w:r w:rsidR="003D1511">
        <w:rPr>
          <w:rFonts w:ascii="Comic Sans MS" w:hAnsi="Comic Sans MS" w:cstheme="minorBidi"/>
          <w:sz w:val="22"/>
          <w:szCs w:val="24"/>
          <w:lang w:val="it-IT" w:eastAsia="en-US"/>
        </w:rPr>
        <w:t>legge interpretativa</w:t>
      </w:r>
      <w:r>
        <w:rPr>
          <w:rFonts w:ascii="Comic Sans MS" w:hAnsi="Comic Sans MS" w:cstheme="minorBidi"/>
          <w:sz w:val="22"/>
          <w:szCs w:val="24"/>
          <w:lang w:val="it-IT" w:eastAsia="en-US"/>
        </w:rPr>
        <w:t xml:space="preserve">; tuttavia, </w:t>
      </w:r>
      <w:r w:rsidR="003D1511">
        <w:rPr>
          <w:rFonts w:ascii="Comic Sans MS" w:hAnsi="Comic Sans MS" w:cstheme="minorBidi"/>
          <w:sz w:val="22"/>
          <w:szCs w:val="24"/>
          <w:lang w:val="it-IT" w:eastAsia="en-US"/>
        </w:rPr>
        <w:t xml:space="preserve">l’elevato numero di soggetti coinvolti e il riparto delle competenze tra le Regioni e il Ministero della Salute ha causato forti ritardi nel riconoscimento dell’indennizzo dovuto. </w:t>
      </w:r>
      <w:r w:rsidR="00732AA7">
        <w:rPr>
          <w:rFonts w:ascii="Comic Sans MS" w:hAnsi="Comic Sans MS" w:cstheme="minorBidi"/>
          <w:sz w:val="22"/>
          <w:szCs w:val="24"/>
          <w:lang w:val="it-IT" w:eastAsia="en-US"/>
        </w:rPr>
        <w:t>Nel mese di febbraio 2018, è stato presentato il Bilancio d’Azione da parte del Governo italiano, con richiesta di dichiarare chiusa la procedura di esecuzione</w:t>
      </w:r>
      <w:r w:rsidR="00263F4D">
        <w:rPr>
          <w:rFonts w:ascii="Comic Sans MS" w:hAnsi="Comic Sans MS" w:cstheme="minorBidi"/>
          <w:sz w:val="22"/>
          <w:szCs w:val="24"/>
          <w:lang w:val="it-IT" w:eastAsia="en-US"/>
        </w:rPr>
        <w:t>, stante l’avvenuto riconoscimento a tutti gli interessati delle somme rivalutate</w:t>
      </w:r>
      <w:r w:rsidR="00732AA7">
        <w:rPr>
          <w:rFonts w:ascii="Comic Sans MS" w:hAnsi="Comic Sans MS" w:cstheme="minorBidi"/>
          <w:sz w:val="22"/>
          <w:szCs w:val="24"/>
          <w:lang w:val="it-IT" w:eastAsia="en-US"/>
        </w:rPr>
        <w:t>.</w:t>
      </w:r>
    </w:p>
    <w:p w:rsidR="003B3864" w:rsidRDefault="003B3864" w:rsidP="009C28D5">
      <w:pPr>
        <w:pStyle w:val="NormalWeb"/>
        <w:spacing w:before="2" w:after="2"/>
        <w:jc w:val="both"/>
        <w:rPr>
          <w:rFonts w:ascii="Comic Sans MS" w:hAnsi="Comic Sans MS" w:cstheme="minorBidi"/>
          <w:sz w:val="22"/>
          <w:szCs w:val="24"/>
          <w:lang w:val="it-IT" w:eastAsia="en-US"/>
        </w:rPr>
      </w:pPr>
    </w:p>
    <w:p w:rsidR="003B3864" w:rsidRPr="003B3864" w:rsidRDefault="003B3864" w:rsidP="003B3864">
      <w:pPr>
        <w:pStyle w:val="NormalWeb"/>
        <w:spacing w:before="2" w:after="2"/>
        <w:jc w:val="both"/>
        <w:rPr>
          <w:rFonts w:ascii="Comic Sans MS" w:hAnsi="Comic Sans MS" w:cstheme="minorBidi"/>
          <w:b/>
          <w:sz w:val="22"/>
          <w:szCs w:val="24"/>
          <w:lang w:val="it-IT" w:eastAsia="en-US"/>
        </w:rPr>
      </w:pPr>
      <w:r w:rsidRPr="003B3864">
        <w:rPr>
          <w:rFonts w:ascii="Comic Sans MS" w:hAnsi="Comic Sans MS" w:cstheme="minorBidi"/>
          <w:b/>
          <w:sz w:val="22"/>
          <w:szCs w:val="24"/>
          <w:lang w:val="it-IT" w:eastAsia="en-US"/>
        </w:rPr>
        <w:t>I casi</w:t>
      </w:r>
      <w:r>
        <w:rPr>
          <w:rFonts w:ascii="Comic Sans MS" w:hAnsi="Comic Sans MS" w:cstheme="minorBidi"/>
          <w:b/>
          <w:sz w:val="22"/>
          <w:szCs w:val="24"/>
          <w:lang w:val="it-IT" w:eastAsia="en-US"/>
        </w:rPr>
        <w:t xml:space="preserve"> riguardanti i fatti del G8 di G</w:t>
      </w:r>
      <w:r w:rsidRPr="003B3864">
        <w:rPr>
          <w:rFonts w:ascii="Comic Sans MS" w:hAnsi="Comic Sans MS" w:cstheme="minorBidi"/>
          <w:b/>
          <w:sz w:val="22"/>
          <w:szCs w:val="24"/>
          <w:lang w:val="it-IT" w:eastAsia="en-US"/>
        </w:rPr>
        <w:t>enova</w:t>
      </w:r>
      <w:r w:rsidR="00C77036">
        <w:rPr>
          <w:rFonts w:ascii="Comic Sans MS" w:hAnsi="Comic Sans MS" w:cstheme="minorBidi"/>
          <w:b/>
          <w:sz w:val="22"/>
          <w:szCs w:val="24"/>
          <w:lang w:val="it-IT" w:eastAsia="en-US"/>
        </w:rPr>
        <w:t>.</w:t>
      </w:r>
    </w:p>
    <w:p w:rsidR="00021228" w:rsidRDefault="00604E4F" w:rsidP="009C28D5">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Pur non trattandosi di sentenze pilota, le decisioni CEDU sui casi riguardanti gli </w:t>
      </w:r>
      <w:r w:rsidRPr="003B3864">
        <w:rPr>
          <w:rFonts w:ascii="Comic Sans MS" w:hAnsi="Comic Sans MS" w:cstheme="minorBidi"/>
          <w:sz w:val="22"/>
          <w:szCs w:val="24"/>
          <w:lang w:val="it-IT" w:eastAsia="en-US"/>
        </w:rPr>
        <w:t>eventi occorsi a Genova</w:t>
      </w:r>
      <w:r w:rsidRPr="003B3864">
        <w:rPr>
          <w:rStyle w:val="Refdenotaalpie"/>
          <w:rFonts w:ascii="Comic Sans MS" w:hAnsi="Comic Sans MS" w:cstheme="minorBidi"/>
          <w:sz w:val="22"/>
          <w:szCs w:val="24"/>
          <w:lang w:val="it-IT" w:eastAsia="en-US"/>
        </w:rPr>
        <w:footnoteReference w:id="4"/>
      </w:r>
      <w:r w:rsidRPr="003B3864">
        <w:rPr>
          <w:rFonts w:ascii="Comic Sans MS" w:hAnsi="Comic Sans MS" w:cstheme="minorBidi"/>
          <w:sz w:val="22"/>
          <w:szCs w:val="24"/>
          <w:lang w:val="it-IT" w:eastAsia="en-US"/>
        </w:rPr>
        <w:t xml:space="preserve"> nel corso del G8</w:t>
      </w:r>
      <w:r>
        <w:rPr>
          <w:rFonts w:ascii="Comic Sans MS" w:hAnsi="Comic Sans MS" w:cstheme="minorBidi"/>
          <w:sz w:val="22"/>
          <w:szCs w:val="24"/>
          <w:lang w:val="it-IT" w:eastAsia="en-US"/>
        </w:rPr>
        <w:t xml:space="preserve"> appaiono di </w:t>
      </w:r>
      <w:r w:rsidR="00AF7FB8">
        <w:rPr>
          <w:rFonts w:ascii="Comic Sans MS" w:hAnsi="Comic Sans MS" w:cstheme="minorBidi"/>
          <w:sz w:val="22"/>
          <w:szCs w:val="24"/>
          <w:lang w:val="it-IT" w:eastAsia="en-US"/>
        </w:rPr>
        <w:t>grande interesse</w:t>
      </w:r>
      <w:r w:rsidR="00021228">
        <w:rPr>
          <w:rFonts w:ascii="Comic Sans MS" w:hAnsi="Comic Sans MS" w:cstheme="minorBidi"/>
          <w:sz w:val="22"/>
          <w:szCs w:val="24"/>
          <w:lang w:val="it-IT" w:eastAsia="en-US"/>
        </w:rPr>
        <w:t>, non solamente a causa dell’estrema gravità e rilevanza di quanto accaduto.</w:t>
      </w:r>
    </w:p>
    <w:p w:rsidR="00021228" w:rsidRDefault="00021228" w:rsidP="009C28D5">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Le citate sentenze, infatti,</w:t>
      </w:r>
      <w:r w:rsidR="00604E4F">
        <w:rPr>
          <w:rFonts w:ascii="Comic Sans MS" w:hAnsi="Comic Sans MS" w:cstheme="minorBidi"/>
          <w:sz w:val="22"/>
          <w:szCs w:val="24"/>
          <w:lang w:val="it-IT" w:eastAsia="en-US"/>
        </w:rPr>
        <w:t xml:space="preserve"> </w:t>
      </w:r>
      <w:r w:rsidR="00432773">
        <w:rPr>
          <w:rFonts w:ascii="Comic Sans MS" w:hAnsi="Comic Sans MS" w:cstheme="minorBidi"/>
          <w:sz w:val="22"/>
          <w:szCs w:val="24"/>
          <w:lang w:val="it-IT" w:eastAsia="en-US"/>
        </w:rPr>
        <w:t>contengono indicazioni precise</w:t>
      </w:r>
      <w:r>
        <w:rPr>
          <w:rFonts w:ascii="Comic Sans MS" w:hAnsi="Comic Sans MS" w:cstheme="minorBidi"/>
          <w:sz w:val="22"/>
          <w:szCs w:val="24"/>
          <w:lang w:val="it-IT" w:eastAsia="en-US"/>
        </w:rPr>
        <w:t xml:space="preserve"> da parte della Corte europea</w:t>
      </w:r>
      <w:r w:rsidR="00432773">
        <w:rPr>
          <w:rFonts w:ascii="Comic Sans MS" w:hAnsi="Comic Sans MS" w:cstheme="minorBidi"/>
          <w:sz w:val="22"/>
          <w:szCs w:val="24"/>
          <w:lang w:val="it-IT" w:eastAsia="en-US"/>
        </w:rPr>
        <w:t xml:space="preserve"> – peraltro</w:t>
      </w:r>
      <w:r>
        <w:rPr>
          <w:rFonts w:ascii="Comic Sans MS" w:hAnsi="Comic Sans MS" w:cstheme="minorBidi"/>
          <w:sz w:val="22"/>
          <w:szCs w:val="24"/>
          <w:lang w:val="it-IT" w:eastAsia="en-US"/>
        </w:rPr>
        <w:t xml:space="preserve"> presenti</w:t>
      </w:r>
      <w:r w:rsidR="00432773">
        <w:rPr>
          <w:rFonts w:ascii="Comic Sans MS" w:hAnsi="Comic Sans MS" w:cstheme="minorBidi"/>
          <w:sz w:val="22"/>
          <w:szCs w:val="24"/>
          <w:lang w:val="it-IT" w:eastAsia="en-US"/>
        </w:rPr>
        <w:t xml:space="preserve"> anche in altre pronunce emesse </w:t>
      </w:r>
      <w:r>
        <w:rPr>
          <w:rFonts w:ascii="Comic Sans MS" w:hAnsi="Comic Sans MS" w:cstheme="minorBidi"/>
          <w:sz w:val="22"/>
          <w:szCs w:val="24"/>
          <w:lang w:val="it-IT" w:eastAsia="en-US"/>
        </w:rPr>
        <w:t>in precedenza</w:t>
      </w:r>
      <w:r w:rsidR="00432773">
        <w:rPr>
          <w:rFonts w:ascii="Comic Sans MS" w:hAnsi="Comic Sans MS" w:cstheme="minorBidi"/>
          <w:sz w:val="22"/>
          <w:szCs w:val="24"/>
          <w:lang w:val="it-IT" w:eastAsia="en-US"/>
        </w:rPr>
        <w:t xml:space="preserve"> nei riguardi dello Stato italiano </w:t>
      </w:r>
      <w:r>
        <w:rPr>
          <w:rFonts w:ascii="Comic Sans MS" w:hAnsi="Comic Sans MS" w:cstheme="minorBidi"/>
          <w:sz w:val="22"/>
          <w:szCs w:val="24"/>
          <w:lang w:val="it-IT" w:eastAsia="en-US"/>
        </w:rPr>
        <w:t>–</w:t>
      </w:r>
      <w:r w:rsidR="00432773">
        <w:rPr>
          <w:rFonts w:ascii="Comic Sans MS" w:hAnsi="Comic Sans MS" w:cstheme="minorBidi"/>
          <w:sz w:val="22"/>
          <w:szCs w:val="24"/>
          <w:lang w:val="it-IT" w:eastAsia="en-US"/>
        </w:rPr>
        <w:t xml:space="preserve"> </w:t>
      </w:r>
      <w:r>
        <w:rPr>
          <w:rFonts w:ascii="Comic Sans MS" w:hAnsi="Comic Sans MS" w:cstheme="minorBidi"/>
          <w:sz w:val="22"/>
          <w:szCs w:val="24"/>
          <w:lang w:val="it-IT" w:eastAsia="en-US"/>
        </w:rPr>
        <w:t>sulle lacune normative ravvisate nel nostro ordinamento e sulla necessità di colmarle, dotandosi di adeguati strumenti giuridici.</w:t>
      </w:r>
    </w:p>
    <w:p w:rsidR="00056810" w:rsidRDefault="00A638D4" w:rsidP="009C28D5">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Si tratta, dunque, di </w:t>
      </w:r>
      <w:r w:rsidR="00056810">
        <w:rPr>
          <w:rFonts w:ascii="Comic Sans MS" w:hAnsi="Comic Sans MS" w:cstheme="minorBidi"/>
          <w:sz w:val="22"/>
          <w:szCs w:val="24"/>
          <w:lang w:val="it-IT" w:eastAsia="en-US"/>
        </w:rPr>
        <w:t>decisioni che presentano alcune delle caratteristiche delle sentenze pilota</w:t>
      </w:r>
      <w:r w:rsidR="00957756">
        <w:rPr>
          <w:rFonts w:ascii="Comic Sans MS" w:hAnsi="Comic Sans MS" w:cstheme="minorBidi"/>
          <w:sz w:val="22"/>
          <w:szCs w:val="24"/>
          <w:lang w:val="it-IT" w:eastAsia="en-US"/>
        </w:rPr>
        <w:t>, tanto da essere definite da par</w:t>
      </w:r>
      <w:r w:rsidR="00056810">
        <w:rPr>
          <w:rFonts w:ascii="Comic Sans MS" w:hAnsi="Comic Sans MS" w:cstheme="minorBidi"/>
          <w:sz w:val="22"/>
          <w:szCs w:val="24"/>
          <w:lang w:val="it-IT" w:eastAsia="en-US"/>
        </w:rPr>
        <w:t xml:space="preserve">te della dottrina </w:t>
      </w:r>
      <w:r w:rsidR="00957756">
        <w:rPr>
          <w:rFonts w:ascii="Comic Sans MS" w:hAnsi="Comic Sans MS" w:cstheme="minorBidi"/>
          <w:sz w:val="22"/>
          <w:szCs w:val="24"/>
          <w:lang w:val="it-IT" w:eastAsia="en-US"/>
        </w:rPr>
        <w:t>come</w:t>
      </w:r>
      <w:r w:rsidR="00056810">
        <w:rPr>
          <w:rFonts w:ascii="Comic Sans MS" w:hAnsi="Comic Sans MS" w:cstheme="minorBidi"/>
          <w:sz w:val="22"/>
          <w:szCs w:val="24"/>
          <w:lang w:val="it-IT" w:eastAsia="en-US"/>
        </w:rPr>
        <w:t xml:space="preserve"> “</w:t>
      </w:r>
      <w:r w:rsidR="00604E4F">
        <w:rPr>
          <w:rFonts w:ascii="Comic Sans MS" w:hAnsi="Comic Sans MS" w:cstheme="minorBidi"/>
          <w:sz w:val="22"/>
          <w:szCs w:val="24"/>
          <w:lang w:val="it-IT" w:eastAsia="en-US"/>
        </w:rPr>
        <w:t>quasi pilota</w:t>
      </w:r>
      <w:r w:rsidR="00056810">
        <w:rPr>
          <w:rFonts w:ascii="Comic Sans MS" w:hAnsi="Comic Sans MS" w:cstheme="minorBidi"/>
          <w:sz w:val="22"/>
          <w:szCs w:val="24"/>
          <w:lang w:val="it-IT" w:eastAsia="en-US"/>
        </w:rPr>
        <w:t>”</w:t>
      </w:r>
      <w:r w:rsidR="003173A9">
        <w:rPr>
          <w:rStyle w:val="Refdenotaalpie"/>
          <w:rFonts w:ascii="Comic Sans MS" w:hAnsi="Comic Sans MS" w:cstheme="minorBidi"/>
          <w:sz w:val="22"/>
          <w:szCs w:val="24"/>
          <w:lang w:val="it-IT" w:eastAsia="en-US"/>
        </w:rPr>
        <w:footnoteReference w:id="5"/>
      </w:r>
      <w:r w:rsidR="00056810">
        <w:rPr>
          <w:rFonts w:ascii="Comic Sans MS" w:hAnsi="Comic Sans MS" w:cstheme="minorBidi"/>
          <w:sz w:val="22"/>
          <w:szCs w:val="24"/>
          <w:lang w:val="it-IT" w:eastAsia="en-US"/>
        </w:rPr>
        <w:t>.</w:t>
      </w:r>
    </w:p>
    <w:p w:rsidR="007147C0" w:rsidRDefault="00056810" w:rsidP="007147C0">
      <w:pPr>
        <w:widowControl w:val="0"/>
        <w:autoSpaceDE w:val="0"/>
        <w:autoSpaceDN w:val="0"/>
        <w:adjustRightInd w:val="0"/>
        <w:jc w:val="both"/>
        <w:rPr>
          <w:rFonts w:ascii="Comic Sans MS" w:hAnsi="Comic Sans MS"/>
          <w:sz w:val="22"/>
          <w:lang w:val="it-IT"/>
        </w:rPr>
      </w:pPr>
      <w:r>
        <w:rPr>
          <w:rFonts w:ascii="Comic Sans MS" w:hAnsi="Comic Sans MS"/>
          <w:sz w:val="22"/>
          <w:lang w:val="it-IT"/>
        </w:rPr>
        <w:t>Molto brevemente, n</w:t>
      </w:r>
      <w:r w:rsidR="00875094">
        <w:rPr>
          <w:rFonts w:ascii="Comic Sans MS" w:hAnsi="Comic Sans MS"/>
          <w:sz w:val="22"/>
          <w:lang w:val="it-IT"/>
        </w:rPr>
        <w:t xml:space="preserve">ei casi G8 la Corte ha constatato </w:t>
      </w:r>
      <w:r w:rsidR="007147C0">
        <w:rPr>
          <w:rFonts w:ascii="Comic Sans MS" w:hAnsi="Comic Sans MS"/>
          <w:sz w:val="22"/>
          <w:lang w:val="it-IT"/>
        </w:rPr>
        <w:t>l’assenza di punizione concreta dei responsabili de</w:t>
      </w:r>
      <w:r w:rsidR="007147C0" w:rsidRPr="007147C0">
        <w:rPr>
          <w:rFonts w:ascii="Comic Sans MS" w:hAnsi="Comic Sans MS"/>
          <w:sz w:val="22"/>
          <w:lang w:val="it-IT"/>
        </w:rPr>
        <w:t xml:space="preserve">i maltrattamenti </w:t>
      </w:r>
      <w:r w:rsidR="007147C0">
        <w:rPr>
          <w:rFonts w:ascii="Comic Sans MS" w:hAnsi="Comic Sans MS"/>
          <w:sz w:val="22"/>
          <w:lang w:val="it-IT"/>
        </w:rPr>
        <w:t>perpetrati nella scuola D</w:t>
      </w:r>
      <w:r>
        <w:rPr>
          <w:rFonts w:ascii="Comic Sans MS" w:hAnsi="Comic Sans MS"/>
          <w:sz w:val="22"/>
          <w:lang w:val="it-IT"/>
        </w:rPr>
        <w:t>iaz e nella c</w:t>
      </w:r>
      <w:r w:rsidR="007147C0">
        <w:rPr>
          <w:rFonts w:ascii="Comic Sans MS" w:hAnsi="Comic Sans MS"/>
          <w:sz w:val="22"/>
          <w:lang w:val="it-IT"/>
        </w:rPr>
        <w:t>aserma Bolzaneto</w:t>
      </w:r>
      <w:r w:rsidR="005A1065">
        <w:rPr>
          <w:rFonts w:ascii="Comic Sans MS" w:hAnsi="Comic Sans MS"/>
          <w:sz w:val="22"/>
          <w:lang w:val="it-IT"/>
        </w:rPr>
        <w:t>,</w:t>
      </w:r>
      <w:r w:rsidR="007147C0">
        <w:rPr>
          <w:rFonts w:ascii="Comic Sans MS" w:hAnsi="Comic Sans MS"/>
          <w:sz w:val="22"/>
          <w:lang w:val="it-IT"/>
        </w:rPr>
        <w:t xml:space="preserve"> </w:t>
      </w:r>
      <w:r w:rsidR="005A1065">
        <w:rPr>
          <w:rFonts w:ascii="Comic Sans MS" w:hAnsi="Comic Sans MS"/>
          <w:sz w:val="22"/>
          <w:lang w:val="it-IT"/>
        </w:rPr>
        <w:t>legata nei casi di specie</w:t>
      </w:r>
      <w:r w:rsidR="007147C0">
        <w:rPr>
          <w:rFonts w:ascii="Comic Sans MS" w:hAnsi="Comic Sans MS"/>
          <w:sz w:val="22"/>
          <w:lang w:val="it-IT"/>
        </w:rPr>
        <w:t xml:space="preserve"> </w:t>
      </w:r>
      <w:r w:rsidR="005A1065">
        <w:rPr>
          <w:rFonts w:ascii="Comic Sans MS" w:hAnsi="Comic Sans MS"/>
          <w:sz w:val="22"/>
          <w:lang w:val="it-IT"/>
        </w:rPr>
        <w:t>a</w:t>
      </w:r>
      <w:r w:rsidR="00B34CE3">
        <w:rPr>
          <w:rFonts w:ascii="Comic Sans MS" w:hAnsi="Comic Sans MS"/>
          <w:sz w:val="22"/>
          <w:lang w:val="it-IT"/>
        </w:rPr>
        <w:t xml:space="preserve"> diversi fattori, tra cui i</w:t>
      </w:r>
      <w:r w:rsidR="005A1065">
        <w:rPr>
          <w:rFonts w:ascii="Comic Sans MS" w:hAnsi="Comic Sans MS"/>
          <w:sz w:val="22"/>
          <w:lang w:val="it-IT"/>
        </w:rPr>
        <w:t xml:space="preserve">l decorso dei termini massimi </w:t>
      </w:r>
      <w:r w:rsidR="007147C0">
        <w:rPr>
          <w:rFonts w:ascii="Comic Sans MS" w:hAnsi="Comic Sans MS"/>
          <w:sz w:val="22"/>
          <w:lang w:val="it-IT"/>
        </w:rPr>
        <w:t>d</w:t>
      </w:r>
      <w:r w:rsidR="005A1065">
        <w:rPr>
          <w:rFonts w:ascii="Comic Sans MS" w:hAnsi="Comic Sans MS"/>
          <w:sz w:val="22"/>
          <w:lang w:val="it-IT"/>
        </w:rPr>
        <w:t>i</w:t>
      </w:r>
      <w:r w:rsidR="007147C0">
        <w:rPr>
          <w:rFonts w:ascii="Comic Sans MS" w:hAnsi="Comic Sans MS"/>
          <w:sz w:val="22"/>
          <w:lang w:val="it-IT"/>
        </w:rPr>
        <w:t xml:space="preserve"> prescrizione </w:t>
      </w:r>
      <w:r w:rsidR="005A1065">
        <w:rPr>
          <w:rFonts w:ascii="Comic Sans MS" w:hAnsi="Comic Sans MS"/>
          <w:sz w:val="22"/>
          <w:lang w:val="it-IT"/>
        </w:rPr>
        <w:t xml:space="preserve">per alcuni reati </w:t>
      </w:r>
      <w:r w:rsidR="007147C0">
        <w:rPr>
          <w:rFonts w:ascii="Comic Sans MS" w:hAnsi="Comic Sans MS"/>
          <w:sz w:val="22"/>
          <w:lang w:val="it-IT"/>
        </w:rPr>
        <w:t>e la riduzione delle pene</w:t>
      </w:r>
      <w:r w:rsidR="005A1065">
        <w:rPr>
          <w:rFonts w:ascii="Comic Sans MS" w:hAnsi="Comic Sans MS"/>
          <w:sz w:val="22"/>
          <w:lang w:val="it-IT"/>
        </w:rPr>
        <w:t xml:space="preserve"> inflitte</w:t>
      </w:r>
      <w:r w:rsidR="007147C0">
        <w:rPr>
          <w:rFonts w:ascii="Comic Sans MS" w:hAnsi="Comic Sans MS"/>
          <w:sz w:val="22"/>
          <w:lang w:val="it-IT"/>
        </w:rPr>
        <w:t xml:space="preserve"> </w:t>
      </w:r>
      <w:r w:rsidR="00B34CE3">
        <w:rPr>
          <w:rFonts w:ascii="Comic Sans MS" w:hAnsi="Comic Sans MS"/>
          <w:sz w:val="22"/>
          <w:lang w:val="it-IT"/>
        </w:rPr>
        <w:t>a causa del</w:t>
      </w:r>
      <w:r w:rsidR="007147C0">
        <w:rPr>
          <w:rFonts w:ascii="Comic Sans MS" w:hAnsi="Comic Sans MS"/>
          <w:sz w:val="22"/>
          <w:lang w:val="it-IT"/>
        </w:rPr>
        <w:t>l’indulto.</w:t>
      </w:r>
    </w:p>
    <w:p w:rsidR="007147C0" w:rsidRDefault="007147C0" w:rsidP="007147C0">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I giudici europei hanno </w:t>
      </w:r>
      <w:r w:rsidR="0070100F">
        <w:rPr>
          <w:rFonts w:ascii="Comic Sans MS" w:hAnsi="Comic Sans MS"/>
          <w:sz w:val="22"/>
          <w:lang w:val="it-IT"/>
        </w:rPr>
        <w:t xml:space="preserve">ravvisato sia la violazione dell’art. 3 sotto il profilo sostanziale, </w:t>
      </w:r>
      <w:r w:rsidR="00B34CE3">
        <w:rPr>
          <w:rFonts w:ascii="Comic Sans MS" w:hAnsi="Comic Sans MS"/>
          <w:sz w:val="22"/>
          <w:lang w:val="it-IT"/>
        </w:rPr>
        <w:t>legata a</w:t>
      </w:r>
      <w:r w:rsidR="0070100F">
        <w:rPr>
          <w:rFonts w:ascii="Comic Sans MS" w:hAnsi="Comic Sans MS"/>
          <w:sz w:val="22"/>
          <w:lang w:val="it-IT"/>
        </w:rPr>
        <w:t xml:space="preserve">i maltrattamenti </w:t>
      </w:r>
      <w:r w:rsidR="00B34CE3">
        <w:rPr>
          <w:rFonts w:ascii="Comic Sans MS" w:hAnsi="Comic Sans MS"/>
          <w:sz w:val="22"/>
          <w:lang w:val="it-IT"/>
        </w:rPr>
        <w:t xml:space="preserve">subiti dai ricorrenti </w:t>
      </w:r>
      <w:r w:rsidR="0070100F">
        <w:rPr>
          <w:rFonts w:ascii="Comic Sans MS" w:hAnsi="Comic Sans MS"/>
          <w:sz w:val="22"/>
          <w:lang w:val="it-IT"/>
        </w:rPr>
        <w:t>da parte delle forze dell’ordine</w:t>
      </w:r>
      <w:r w:rsidR="00B34CE3">
        <w:rPr>
          <w:rFonts w:ascii="Comic Sans MS" w:hAnsi="Comic Sans MS"/>
          <w:sz w:val="22"/>
          <w:lang w:val="it-IT"/>
        </w:rPr>
        <w:t>,</w:t>
      </w:r>
      <w:r w:rsidR="0070100F">
        <w:rPr>
          <w:rFonts w:ascii="Comic Sans MS" w:hAnsi="Comic Sans MS"/>
          <w:sz w:val="22"/>
          <w:lang w:val="it-IT"/>
        </w:rPr>
        <w:t xml:space="preserve"> che l’</w:t>
      </w:r>
      <w:r w:rsidR="00056810" w:rsidRPr="00875094">
        <w:rPr>
          <w:rFonts w:ascii="Comic Sans MS" w:hAnsi="Comic Sans MS"/>
          <w:sz w:val="22"/>
          <w:lang w:val="it-IT"/>
        </w:rPr>
        <w:t>inadeguat</w:t>
      </w:r>
      <w:r w:rsidR="00056810">
        <w:rPr>
          <w:rFonts w:ascii="Comic Sans MS" w:hAnsi="Comic Sans MS"/>
          <w:sz w:val="22"/>
          <w:lang w:val="it-IT"/>
        </w:rPr>
        <w:t>e</w:t>
      </w:r>
      <w:r w:rsidR="0070100F">
        <w:rPr>
          <w:rFonts w:ascii="Comic Sans MS" w:hAnsi="Comic Sans MS"/>
          <w:sz w:val="22"/>
          <w:lang w:val="it-IT"/>
        </w:rPr>
        <w:t>zza delle indagini svolte e del</w:t>
      </w:r>
      <w:r w:rsidR="00056810" w:rsidRPr="00875094">
        <w:rPr>
          <w:rFonts w:ascii="Comic Sans MS" w:hAnsi="Comic Sans MS"/>
          <w:sz w:val="22"/>
          <w:lang w:val="it-IT"/>
        </w:rPr>
        <w:t>l</w:t>
      </w:r>
      <w:r w:rsidR="00056810">
        <w:rPr>
          <w:rFonts w:ascii="Comic Sans MS" w:hAnsi="Comic Sans MS"/>
          <w:sz w:val="22"/>
          <w:lang w:val="it-IT"/>
        </w:rPr>
        <w:t>e</w:t>
      </w:r>
      <w:r w:rsidR="00056810" w:rsidRPr="00875094">
        <w:rPr>
          <w:rFonts w:ascii="Comic Sans MS" w:hAnsi="Comic Sans MS"/>
          <w:sz w:val="22"/>
          <w:lang w:val="it-IT"/>
        </w:rPr>
        <w:t xml:space="preserve"> sanzion</w:t>
      </w:r>
      <w:r w:rsidR="00056810">
        <w:rPr>
          <w:rFonts w:ascii="Comic Sans MS" w:hAnsi="Comic Sans MS"/>
          <w:sz w:val="22"/>
          <w:lang w:val="it-IT"/>
        </w:rPr>
        <w:t>i</w:t>
      </w:r>
      <w:r w:rsidR="00056810" w:rsidRPr="00875094">
        <w:rPr>
          <w:rFonts w:ascii="Comic Sans MS" w:hAnsi="Comic Sans MS"/>
          <w:sz w:val="22"/>
          <w:lang w:val="it-IT"/>
        </w:rPr>
        <w:t xml:space="preserve"> inflitt</w:t>
      </w:r>
      <w:r w:rsidR="00056810">
        <w:rPr>
          <w:rFonts w:ascii="Comic Sans MS" w:hAnsi="Comic Sans MS"/>
          <w:sz w:val="22"/>
          <w:lang w:val="it-IT"/>
        </w:rPr>
        <w:t xml:space="preserve">e, </w:t>
      </w:r>
      <w:r>
        <w:rPr>
          <w:rFonts w:ascii="Comic Sans MS" w:hAnsi="Comic Sans MS"/>
          <w:sz w:val="22"/>
          <w:lang w:val="it-IT"/>
        </w:rPr>
        <w:t>in applicazione della</w:t>
      </w:r>
      <w:r w:rsidR="00875094" w:rsidRPr="00875094">
        <w:rPr>
          <w:rFonts w:ascii="Comic Sans MS" w:hAnsi="Comic Sans MS"/>
          <w:sz w:val="22"/>
          <w:lang w:val="it-IT"/>
        </w:rPr>
        <w:t xml:space="preserve"> giurisprudenza relativa al profilo procedurale</w:t>
      </w:r>
      <w:r w:rsidR="00875094">
        <w:rPr>
          <w:rFonts w:ascii="Comic Sans MS" w:hAnsi="Comic Sans MS"/>
          <w:sz w:val="22"/>
          <w:lang w:val="it-IT"/>
        </w:rPr>
        <w:t xml:space="preserve"> </w:t>
      </w:r>
      <w:r w:rsidR="00875094" w:rsidRPr="00875094">
        <w:rPr>
          <w:rFonts w:ascii="Comic Sans MS" w:hAnsi="Comic Sans MS"/>
          <w:sz w:val="22"/>
          <w:lang w:val="it-IT"/>
        </w:rPr>
        <w:t>dell’articolo 3</w:t>
      </w:r>
      <w:r>
        <w:rPr>
          <w:rFonts w:ascii="Comic Sans MS" w:hAnsi="Comic Sans MS"/>
          <w:sz w:val="22"/>
          <w:lang w:val="it-IT"/>
        </w:rPr>
        <w:t>.</w:t>
      </w:r>
    </w:p>
    <w:p w:rsidR="00875094" w:rsidRPr="00875094" w:rsidRDefault="00875094" w:rsidP="007147C0">
      <w:pPr>
        <w:widowControl w:val="0"/>
        <w:autoSpaceDE w:val="0"/>
        <w:autoSpaceDN w:val="0"/>
        <w:adjustRightInd w:val="0"/>
        <w:jc w:val="both"/>
        <w:rPr>
          <w:rFonts w:ascii="Comic Sans MS" w:hAnsi="Comic Sans MS"/>
          <w:sz w:val="22"/>
          <w:lang w:val="it-IT"/>
        </w:rPr>
      </w:pPr>
      <w:r w:rsidRPr="00875094">
        <w:rPr>
          <w:rFonts w:ascii="Comic Sans MS" w:hAnsi="Comic Sans MS"/>
          <w:sz w:val="22"/>
          <w:lang w:val="it-IT"/>
        </w:rPr>
        <w:t xml:space="preserve">Per quanto riguarda le misure </w:t>
      </w:r>
      <w:r w:rsidR="0070100F">
        <w:rPr>
          <w:rFonts w:ascii="Comic Sans MS" w:hAnsi="Comic Sans MS"/>
          <w:sz w:val="22"/>
          <w:lang w:val="it-IT"/>
        </w:rPr>
        <w:t xml:space="preserve">generali </w:t>
      </w:r>
      <w:r w:rsidRPr="00875094">
        <w:rPr>
          <w:rFonts w:ascii="Comic Sans MS" w:hAnsi="Comic Sans MS"/>
          <w:sz w:val="22"/>
          <w:lang w:val="it-IT"/>
        </w:rPr>
        <w:t xml:space="preserve">da adottare per </w:t>
      </w:r>
      <w:r w:rsidR="0070100F">
        <w:rPr>
          <w:rFonts w:ascii="Comic Sans MS" w:hAnsi="Comic Sans MS"/>
          <w:sz w:val="22"/>
          <w:lang w:val="it-IT"/>
        </w:rPr>
        <w:t>porre rimedio alle carenz</w:t>
      </w:r>
      <w:r w:rsidR="006A79A3">
        <w:rPr>
          <w:rFonts w:ascii="Comic Sans MS" w:hAnsi="Comic Sans MS"/>
          <w:sz w:val="22"/>
          <w:lang w:val="it-IT"/>
        </w:rPr>
        <w:t>e</w:t>
      </w:r>
      <w:r w:rsidR="0070100F">
        <w:rPr>
          <w:rFonts w:ascii="Comic Sans MS" w:hAnsi="Comic Sans MS"/>
          <w:sz w:val="22"/>
          <w:lang w:val="it-IT"/>
        </w:rPr>
        <w:t xml:space="preserve"> rilevate</w:t>
      </w:r>
      <w:r w:rsidRPr="00875094">
        <w:rPr>
          <w:rFonts w:ascii="Comic Sans MS" w:hAnsi="Comic Sans MS"/>
          <w:sz w:val="22"/>
          <w:lang w:val="it-IT"/>
        </w:rPr>
        <w:t>, la Corte</w:t>
      </w:r>
      <w:r w:rsidR="007147C0">
        <w:rPr>
          <w:rFonts w:ascii="Comic Sans MS" w:hAnsi="Comic Sans MS"/>
          <w:sz w:val="22"/>
          <w:lang w:val="it-IT"/>
        </w:rPr>
        <w:t xml:space="preserve"> ha </w:t>
      </w:r>
      <w:r w:rsidRPr="00875094">
        <w:rPr>
          <w:rFonts w:ascii="Comic Sans MS" w:hAnsi="Comic Sans MS"/>
          <w:sz w:val="22"/>
          <w:lang w:val="it-IT"/>
        </w:rPr>
        <w:t>rammenta</w:t>
      </w:r>
      <w:r w:rsidR="007147C0">
        <w:rPr>
          <w:rFonts w:ascii="Comic Sans MS" w:hAnsi="Comic Sans MS"/>
          <w:sz w:val="22"/>
          <w:lang w:val="it-IT"/>
        </w:rPr>
        <w:t>to</w:t>
      </w:r>
      <w:r w:rsidRPr="00875094">
        <w:rPr>
          <w:rFonts w:ascii="Comic Sans MS" w:hAnsi="Comic Sans MS"/>
          <w:sz w:val="22"/>
          <w:lang w:val="it-IT"/>
        </w:rPr>
        <w:t xml:space="preserve"> che gli obblighi positivi imposti allo Stato in base</w:t>
      </w:r>
      <w:r w:rsidR="007147C0">
        <w:rPr>
          <w:rFonts w:ascii="Comic Sans MS" w:hAnsi="Comic Sans MS"/>
          <w:sz w:val="22"/>
          <w:lang w:val="it-IT"/>
        </w:rPr>
        <w:t xml:space="preserve"> </w:t>
      </w:r>
      <w:r w:rsidRPr="00875094">
        <w:rPr>
          <w:rFonts w:ascii="Comic Sans MS" w:hAnsi="Comic Sans MS"/>
          <w:sz w:val="22"/>
          <w:lang w:val="it-IT"/>
        </w:rPr>
        <w:t>all’articolo 3 possono comportare il dovere di istituire un quadro giuridico adatto,</w:t>
      </w:r>
      <w:r w:rsidR="007147C0">
        <w:rPr>
          <w:rFonts w:ascii="Comic Sans MS" w:hAnsi="Comic Sans MS"/>
          <w:sz w:val="22"/>
          <w:lang w:val="it-IT"/>
        </w:rPr>
        <w:t xml:space="preserve"> </w:t>
      </w:r>
      <w:r w:rsidRPr="00875094">
        <w:rPr>
          <w:rFonts w:ascii="Comic Sans MS" w:hAnsi="Comic Sans MS"/>
          <w:sz w:val="22"/>
          <w:lang w:val="it-IT"/>
        </w:rPr>
        <w:t>soprattutto per mezzo di disposizioni penali efficaci</w:t>
      </w:r>
      <w:r w:rsidR="007147C0">
        <w:rPr>
          <w:rFonts w:ascii="Comic Sans MS" w:hAnsi="Comic Sans MS"/>
          <w:sz w:val="22"/>
          <w:lang w:val="it-IT"/>
        </w:rPr>
        <w:t xml:space="preserve"> e ha invitato</w:t>
      </w:r>
      <w:r w:rsidRPr="00875094">
        <w:rPr>
          <w:rFonts w:ascii="Comic Sans MS" w:hAnsi="Comic Sans MS"/>
          <w:sz w:val="22"/>
          <w:lang w:val="it-IT"/>
        </w:rPr>
        <w:t xml:space="preserve"> lo Stato italiano a dotarsi degli strumenti giuridici atti a</w:t>
      </w:r>
      <w:r w:rsidR="007147C0">
        <w:rPr>
          <w:rFonts w:ascii="Comic Sans MS" w:hAnsi="Comic Sans MS"/>
          <w:sz w:val="22"/>
          <w:lang w:val="it-IT"/>
        </w:rPr>
        <w:t xml:space="preserve"> </w:t>
      </w:r>
      <w:r w:rsidRPr="00875094">
        <w:rPr>
          <w:rFonts w:ascii="Comic Sans MS" w:hAnsi="Comic Sans MS"/>
          <w:sz w:val="22"/>
          <w:lang w:val="it-IT"/>
        </w:rPr>
        <w:t>sanzionare in maniera adeguata i responsabili degli atti di tortura o di altri</w:t>
      </w:r>
      <w:r w:rsidR="007147C0">
        <w:rPr>
          <w:rFonts w:ascii="Comic Sans MS" w:hAnsi="Comic Sans MS"/>
          <w:sz w:val="22"/>
          <w:lang w:val="it-IT"/>
        </w:rPr>
        <w:t xml:space="preserve"> </w:t>
      </w:r>
      <w:r w:rsidRPr="00875094">
        <w:rPr>
          <w:rFonts w:ascii="Comic Sans MS" w:hAnsi="Comic Sans MS"/>
          <w:sz w:val="22"/>
          <w:lang w:val="it-IT"/>
        </w:rPr>
        <w:t xml:space="preserve">maltrattamenti </w:t>
      </w:r>
      <w:r w:rsidR="006A79A3">
        <w:rPr>
          <w:rFonts w:ascii="Comic Sans MS" w:hAnsi="Comic Sans MS"/>
          <w:sz w:val="22"/>
          <w:lang w:val="it-IT"/>
        </w:rPr>
        <w:t>inferti in violazione</w:t>
      </w:r>
      <w:r w:rsidRPr="00875094">
        <w:rPr>
          <w:rFonts w:ascii="Comic Sans MS" w:hAnsi="Comic Sans MS"/>
          <w:sz w:val="22"/>
          <w:lang w:val="it-IT"/>
        </w:rPr>
        <w:t xml:space="preserve"> </w:t>
      </w:r>
      <w:r w:rsidR="006A79A3">
        <w:rPr>
          <w:rFonts w:ascii="Comic Sans MS" w:hAnsi="Comic Sans MS"/>
          <w:sz w:val="22"/>
          <w:lang w:val="it-IT"/>
        </w:rPr>
        <w:t>de</w:t>
      </w:r>
      <w:r w:rsidRPr="00875094">
        <w:rPr>
          <w:rFonts w:ascii="Comic Sans MS" w:hAnsi="Comic Sans MS"/>
          <w:sz w:val="22"/>
          <w:lang w:val="it-IT"/>
        </w:rPr>
        <w:t>ll’articolo 3 e ad impedire che questi ultimi possano</w:t>
      </w:r>
      <w:r w:rsidR="007147C0">
        <w:rPr>
          <w:rFonts w:ascii="Comic Sans MS" w:hAnsi="Comic Sans MS"/>
          <w:sz w:val="22"/>
          <w:lang w:val="it-IT"/>
        </w:rPr>
        <w:t xml:space="preserve"> </w:t>
      </w:r>
      <w:r w:rsidRPr="00875094">
        <w:rPr>
          <w:rFonts w:ascii="Comic Sans MS" w:hAnsi="Comic Sans MS"/>
          <w:sz w:val="22"/>
          <w:lang w:val="it-IT"/>
        </w:rPr>
        <w:t>beneficiare di misure che contrast</w:t>
      </w:r>
      <w:r w:rsidR="006A79A3">
        <w:rPr>
          <w:rFonts w:ascii="Comic Sans MS" w:hAnsi="Comic Sans MS"/>
          <w:sz w:val="22"/>
          <w:lang w:val="it-IT"/>
        </w:rPr>
        <w:t>i</w:t>
      </w:r>
      <w:r w:rsidRPr="00875094">
        <w:rPr>
          <w:rFonts w:ascii="Comic Sans MS" w:hAnsi="Comic Sans MS"/>
          <w:sz w:val="22"/>
          <w:lang w:val="it-IT"/>
        </w:rPr>
        <w:t>no con la giurisprudenza della Corte.</w:t>
      </w:r>
    </w:p>
    <w:p w:rsidR="00332DD4" w:rsidRDefault="00332DD4" w:rsidP="005A20CC">
      <w:pPr>
        <w:pStyle w:val="Default"/>
        <w:jc w:val="both"/>
        <w:rPr>
          <w:rFonts w:ascii="Comic Sans MS" w:hAnsi="Comic Sans MS" w:cstheme="minorBidi"/>
          <w:sz w:val="22"/>
          <w:lang w:val="it-IT"/>
        </w:rPr>
      </w:pPr>
      <w:r w:rsidRPr="005A20CC">
        <w:rPr>
          <w:rFonts w:ascii="Comic Sans MS" w:hAnsi="Comic Sans MS" w:cstheme="minorBidi"/>
          <w:color w:val="auto"/>
          <w:sz w:val="22"/>
          <w:lang w:val="it-IT"/>
        </w:rPr>
        <w:t xml:space="preserve">Le misure </w:t>
      </w:r>
      <w:r w:rsidR="005A20CC">
        <w:rPr>
          <w:rFonts w:ascii="Comic Sans MS" w:hAnsi="Comic Sans MS" w:cstheme="minorBidi"/>
          <w:color w:val="auto"/>
          <w:sz w:val="22"/>
          <w:lang w:val="it-IT"/>
        </w:rPr>
        <w:t xml:space="preserve">indicate </w:t>
      </w:r>
      <w:r w:rsidR="00056810">
        <w:rPr>
          <w:rFonts w:ascii="Comic Sans MS" w:hAnsi="Comic Sans MS" w:cstheme="minorBidi"/>
          <w:color w:val="auto"/>
          <w:sz w:val="22"/>
          <w:lang w:val="it-IT"/>
        </w:rPr>
        <w:t xml:space="preserve">dal Governo </w:t>
      </w:r>
      <w:r w:rsidR="005A20CC" w:rsidRPr="005A20CC">
        <w:rPr>
          <w:rFonts w:ascii="Comic Sans MS" w:hAnsi="Comic Sans MS" w:cstheme="minorBidi"/>
          <w:color w:val="auto"/>
          <w:sz w:val="22"/>
          <w:lang w:val="it-IT"/>
        </w:rPr>
        <w:t xml:space="preserve">nel </w:t>
      </w:r>
      <w:r w:rsidR="005A20CC" w:rsidRPr="005A1065">
        <w:rPr>
          <w:rFonts w:ascii="Comic Sans MS" w:hAnsi="Comic Sans MS" w:cstheme="minorBidi"/>
          <w:color w:val="auto"/>
          <w:sz w:val="22"/>
          <w:u w:val="single"/>
          <w:lang w:val="it-IT"/>
        </w:rPr>
        <w:t>Piano di Azione</w:t>
      </w:r>
      <w:r w:rsidR="005A20CC" w:rsidRPr="005A20CC">
        <w:rPr>
          <w:rFonts w:ascii="Comic Sans MS" w:hAnsi="Comic Sans MS" w:cstheme="minorBidi"/>
          <w:color w:val="auto"/>
          <w:sz w:val="22"/>
          <w:lang w:val="it-IT"/>
        </w:rPr>
        <w:t xml:space="preserve"> </w:t>
      </w:r>
      <w:r w:rsidR="006A79A3">
        <w:rPr>
          <w:rFonts w:ascii="Comic Sans MS" w:hAnsi="Comic Sans MS" w:cstheme="minorBidi"/>
          <w:color w:val="auto"/>
          <w:sz w:val="22"/>
          <w:lang w:val="it-IT"/>
        </w:rPr>
        <w:t>hanno fatto riferimento</w:t>
      </w:r>
      <w:r w:rsidR="005A20CC">
        <w:rPr>
          <w:rFonts w:ascii="Comic Sans MS" w:hAnsi="Comic Sans MS" w:cstheme="minorBidi"/>
          <w:color w:val="auto"/>
          <w:sz w:val="22"/>
          <w:lang w:val="it-IT"/>
        </w:rPr>
        <w:t xml:space="preserve"> </w:t>
      </w:r>
      <w:r w:rsidR="006A79A3">
        <w:rPr>
          <w:rFonts w:ascii="Comic Sans MS" w:hAnsi="Comic Sans MS" w:cstheme="minorBidi"/>
          <w:color w:val="auto"/>
          <w:sz w:val="22"/>
          <w:lang w:val="it-IT"/>
        </w:rPr>
        <w:t>a</w:t>
      </w:r>
      <w:r w:rsidR="005A20CC">
        <w:rPr>
          <w:rFonts w:ascii="Comic Sans MS" w:hAnsi="Comic Sans MS" w:cstheme="minorBidi"/>
          <w:color w:val="auto"/>
          <w:sz w:val="22"/>
          <w:lang w:val="it-IT"/>
        </w:rPr>
        <w:t xml:space="preserve">l pagamento delle somme liquidate a titolo di equa soddisfazione, </w:t>
      </w:r>
      <w:r w:rsidR="006A79A3">
        <w:rPr>
          <w:rFonts w:ascii="Comic Sans MS" w:hAnsi="Comic Sans MS" w:cstheme="minorBidi"/>
          <w:color w:val="auto"/>
          <w:sz w:val="22"/>
          <w:lang w:val="it-IT"/>
        </w:rPr>
        <w:t xml:space="preserve">hanno </w:t>
      </w:r>
      <w:r w:rsidR="00056810">
        <w:rPr>
          <w:rFonts w:ascii="Comic Sans MS" w:hAnsi="Comic Sans MS" w:cstheme="minorBidi"/>
          <w:color w:val="auto"/>
          <w:sz w:val="22"/>
          <w:lang w:val="it-IT"/>
        </w:rPr>
        <w:t>rappresenta</w:t>
      </w:r>
      <w:r w:rsidR="006A79A3">
        <w:rPr>
          <w:rFonts w:ascii="Comic Sans MS" w:hAnsi="Comic Sans MS" w:cstheme="minorBidi"/>
          <w:color w:val="auto"/>
          <w:sz w:val="22"/>
          <w:lang w:val="it-IT"/>
        </w:rPr>
        <w:t>t</w:t>
      </w:r>
      <w:r w:rsidR="00056810">
        <w:rPr>
          <w:rFonts w:ascii="Comic Sans MS" w:hAnsi="Comic Sans MS" w:cstheme="minorBidi"/>
          <w:color w:val="auto"/>
          <w:sz w:val="22"/>
          <w:lang w:val="it-IT"/>
        </w:rPr>
        <w:t xml:space="preserve">o </w:t>
      </w:r>
      <w:r w:rsidR="005A20CC">
        <w:rPr>
          <w:rFonts w:ascii="Comic Sans MS" w:hAnsi="Comic Sans MS" w:cstheme="minorBidi"/>
          <w:color w:val="auto"/>
          <w:sz w:val="22"/>
          <w:lang w:val="it-IT"/>
        </w:rPr>
        <w:t xml:space="preserve">l’avvenuta irrogazione di sanzioni in </w:t>
      </w:r>
      <w:r w:rsidR="005A20CC" w:rsidRPr="005A20CC">
        <w:rPr>
          <w:rFonts w:ascii="Comic Sans MS" w:hAnsi="Comic Sans MS" w:cstheme="minorBidi"/>
          <w:color w:val="auto"/>
          <w:sz w:val="22"/>
          <w:lang w:val="it-IT"/>
        </w:rPr>
        <w:t xml:space="preserve">sede disciplinare </w:t>
      </w:r>
      <w:r w:rsidR="005A20CC">
        <w:rPr>
          <w:rFonts w:ascii="Comic Sans MS" w:hAnsi="Comic Sans MS" w:cstheme="minorBidi"/>
          <w:color w:val="auto"/>
          <w:sz w:val="22"/>
          <w:lang w:val="it-IT"/>
        </w:rPr>
        <w:t>(dieci</w:t>
      </w:r>
      <w:r w:rsidR="005A20CC" w:rsidRPr="005A20CC">
        <w:rPr>
          <w:rFonts w:ascii="Comic Sans MS" w:hAnsi="Comic Sans MS" w:cstheme="minorBidi"/>
          <w:color w:val="auto"/>
          <w:sz w:val="22"/>
          <w:lang w:val="it-IT"/>
        </w:rPr>
        <w:t xml:space="preserve"> decreti di sospensione dal servizio con durata compresa tra 1 e 5 mesi, un richiamo scritto e una sanzione pecuniaria</w:t>
      </w:r>
      <w:r w:rsidR="005A20CC">
        <w:rPr>
          <w:rFonts w:ascii="Comic Sans MS" w:hAnsi="Comic Sans MS" w:cstheme="minorBidi"/>
          <w:color w:val="auto"/>
          <w:sz w:val="22"/>
          <w:lang w:val="it-IT"/>
        </w:rPr>
        <w:t>) e, s</w:t>
      </w:r>
      <w:r w:rsidR="005A20CC" w:rsidRPr="005A20CC">
        <w:rPr>
          <w:rFonts w:ascii="Comic Sans MS" w:hAnsi="Comic Sans MS" w:cstheme="minorBidi"/>
          <w:color w:val="auto"/>
          <w:sz w:val="22"/>
          <w:lang w:val="it-IT"/>
        </w:rPr>
        <w:t>otto un profilo</w:t>
      </w:r>
      <w:r w:rsidR="005A20CC">
        <w:rPr>
          <w:rFonts w:ascii="Comic Sans MS" w:hAnsi="Comic Sans MS" w:cstheme="minorBidi"/>
          <w:color w:val="auto"/>
          <w:sz w:val="22"/>
          <w:lang w:val="it-IT"/>
        </w:rPr>
        <w:t xml:space="preserve"> </w:t>
      </w:r>
      <w:r w:rsidR="005A20CC" w:rsidRPr="005A20CC">
        <w:rPr>
          <w:rFonts w:ascii="Comic Sans MS" w:hAnsi="Comic Sans MS" w:cstheme="minorBidi"/>
          <w:color w:val="auto"/>
          <w:sz w:val="22"/>
          <w:lang w:val="it-IT"/>
        </w:rPr>
        <w:t xml:space="preserve">generale, </w:t>
      </w:r>
      <w:r w:rsidR="00056810">
        <w:rPr>
          <w:rFonts w:ascii="Comic Sans MS" w:hAnsi="Comic Sans MS" w:cstheme="minorBidi"/>
          <w:color w:val="auto"/>
          <w:sz w:val="22"/>
          <w:lang w:val="it-IT"/>
        </w:rPr>
        <w:t>segnala</w:t>
      </w:r>
      <w:r w:rsidR="006A79A3">
        <w:rPr>
          <w:rFonts w:ascii="Comic Sans MS" w:hAnsi="Comic Sans MS" w:cstheme="minorBidi"/>
          <w:color w:val="auto"/>
          <w:sz w:val="22"/>
          <w:lang w:val="it-IT"/>
        </w:rPr>
        <w:t>t</w:t>
      </w:r>
      <w:r w:rsidR="00056810">
        <w:rPr>
          <w:rFonts w:ascii="Comic Sans MS" w:hAnsi="Comic Sans MS" w:cstheme="minorBidi"/>
          <w:color w:val="auto"/>
          <w:sz w:val="22"/>
          <w:lang w:val="it-IT"/>
        </w:rPr>
        <w:t xml:space="preserve">o </w:t>
      </w:r>
      <w:r w:rsidR="005A20CC">
        <w:rPr>
          <w:rFonts w:ascii="Comic Sans MS" w:hAnsi="Comic Sans MS" w:cstheme="minorBidi"/>
          <w:color w:val="auto"/>
          <w:sz w:val="22"/>
          <w:lang w:val="it-IT"/>
        </w:rPr>
        <w:t>l’adozione</w:t>
      </w:r>
      <w:r w:rsidR="005A20CC" w:rsidRPr="005A20CC">
        <w:rPr>
          <w:rFonts w:ascii="Comic Sans MS" w:hAnsi="Comic Sans MS" w:cstheme="minorBidi"/>
          <w:color w:val="auto"/>
          <w:sz w:val="22"/>
          <w:lang w:val="it-IT"/>
        </w:rPr>
        <w:t>, già immediatamente dopo gli eventi del G8</w:t>
      </w:r>
      <w:r w:rsidR="005A20CC">
        <w:rPr>
          <w:rFonts w:ascii="Comic Sans MS" w:hAnsi="Comic Sans MS" w:cstheme="minorBidi"/>
          <w:color w:val="auto"/>
          <w:sz w:val="22"/>
          <w:lang w:val="it-IT"/>
        </w:rPr>
        <w:t>, di</w:t>
      </w:r>
      <w:r w:rsidR="005A20CC" w:rsidRPr="005A20CC">
        <w:rPr>
          <w:rFonts w:ascii="Comic Sans MS" w:hAnsi="Comic Sans MS" w:cstheme="minorBidi"/>
          <w:color w:val="auto"/>
          <w:sz w:val="22"/>
          <w:lang w:val="it-IT"/>
        </w:rPr>
        <w:t xml:space="preserve"> un più mirato percorso formativo del personale della Polizia di Stato, </w:t>
      </w:r>
      <w:r w:rsidR="005A20CC">
        <w:rPr>
          <w:rFonts w:ascii="Comic Sans MS" w:hAnsi="Comic Sans MS" w:cstheme="minorBidi"/>
          <w:color w:val="auto"/>
          <w:sz w:val="22"/>
          <w:lang w:val="it-IT"/>
        </w:rPr>
        <w:t>con l’inserimento</w:t>
      </w:r>
      <w:r w:rsidR="005A20CC" w:rsidRPr="005A20CC">
        <w:rPr>
          <w:rFonts w:ascii="Comic Sans MS" w:hAnsi="Comic Sans MS" w:cstheme="minorBidi"/>
          <w:color w:val="auto"/>
          <w:sz w:val="22"/>
          <w:lang w:val="it-IT"/>
        </w:rPr>
        <w:t xml:space="preserve"> nelle materie professionali argomenti relativi alla prevenzione della lesività nelle tecniche di immobilizzazione</w:t>
      </w:r>
      <w:r w:rsidR="006A79A3">
        <w:rPr>
          <w:rFonts w:ascii="Comic Sans MS" w:hAnsi="Comic Sans MS" w:cstheme="minorBidi"/>
          <w:color w:val="auto"/>
          <w:sz w:val="22"/>
          <w:lang w:val="it-IT"/>
        </w:rPr>
        <w:t>,</w:t>
      </w:r>
      <w:r w:rsidR="005A20CC" w:rsidRPr="005A20CC">
        <w:rPr>
          <w:rFonts w:ascii="Comic Sans MS" w:hAnsi="Comic Sans MS" w:cstheme="minorBidi"/>
          <w:color w:val="auto"/>
          <w:sz w:val="22"/>
          <w:lang w:val="it-IT"/>
        </w:rPr>
        <w:t xml:space="preserve"> con l’intento di contemperare le esigenze di una efficace gestione dell’ordine pubblico con la difesa dei diritti umani. </w:t>
      </w:r>
    </w:p>
    <w:p w:rsidR="00B825EC" w:rsidRDefault="005A20CC" w:rsidP="007147C0">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Ma il nodo principale era quello normativo. </w:t>
      </w:r>
      <w:r w:rsidR="0023612F">
        <w:rPr>
          <w:rFonts w:ascii="Comic Sans MS" w:hAnsi="Comic Sans MS" w:cstheme="minorBidi"/>
          <w:sz w:val="22"/>
          <w:szCs w:val="24"/>
          <w:lang w:val="it-IT" w:eastAsia="en-US"/>
        </w:rPr>
        <w:t xml:space="preserve">Come è noto, con la Legge n. 110/2017 sono stati introdotti nel nostro ordinamento i reati di tortura (art. 613 </w:t>
      </w:r>
      <w:r w:rsidR="0023612F" w:rsidRPr="0023612F">
        <w:rPr>
          <w:rFonts w:ascii="Comic Sans MS" w:hAnsi="Comic Sans MS" w:cstheme="minorBidi"/>
          <w:i/>
          <w:sz w:val="22"/>
          <w:szCs w:val="24"/>
          <w:lang w:val="it-IT" w:eastAsia="en-US"/>
        </w:rPr>
        <w:t>bis</w:t>
      </w:r>
      <w:r w:rsidR="0023612F">
        <w:rPr>
          <w:rFonts w:ascii="Comic Sans MS" w:hAnsi="Comic Sans MS" w:cstheme="minorBidi"/>
          <w:sz w:val="22"/>
          <w:szCs w:val="24"/>
          <w:lang w:val="it-IT" w:eastAsia="en-US"/>
        </w:rPr>
        <w:t xml:space="preserve"> c.p.) e di istigazione del pubblico ufficiale a commettere tortura (art. 613 </w:t>
      </w:r>
      <w:r w:rsidR="0023612F" w:rsidRPr="0023612F">
        <w:rPr>
          <w:rFonts w:ascii="Comic Sans MS" w:hAnsi="Comic Sans MS" w:cstheme="minorBidi"/>
          <w:i/>
          <w:sz w:val="22"/>
          <w:szCs w:val="24"/>
          <w:lang w:val="it-IT" w:eastAsia="en-US"/>
        </w:rPr>
        <w:t xml:space="preserve">ter </w:t>
      </w:r>
      <w:r w:rsidR="0023612F">
        <w:rPr>
          <w:rFonts w:ascii="Comic Sans MS" w:hAnsi="Comic Sans MS" w:cstheme="minorBidi"/>
          <w:sz w:val="22"/>
          <w:szCs w:val="24"/>
          <w:lang w:val="it-IT" w:eastAsia="en-US"/>
        </w:rPr>
        <w:t xml:space="preserve">c.p.). Il lungo e tortuoso </w:t>
      </w:r>
      <w:r w:rsidR="0023612F" w:rsidRPr="00B825EC">
        <w:rPr>
          <w:rFonts w:ascii="Comic Sans MS" w:hAnsi="Comic Sans MS" w:cstheme="minorBidi"/>
          <w:i/>
          <w:sz w:val="22"/>
          <w:szCs w:val="24"/>
          <w:lang w:val="it-IT" w:eastAsia="en-US"/>
        </w:rPr>
        <w:t>iter</w:t>
      </w:r>
      <w:r w:rsidR="0023612F">
        <w:rPr>
          <w:rFonts w:ascii="Comic Sans MS" w:hAnsi="Comic Sans MS" w:cstheme="minorBidi"/>
          <w:sz w:val="22"/>
          <w:szCs w:val="24"/>
          <w:lang w:val="it-IT" w:eastAsia="en-US"/>
        </w:rPr>
        <w:t xml:space="preserve"> parlamentare</w:t>
      </w:r>
      <w:r w:rsidR="0070100F">
        <w:rPr>
          <w:rFonts w:ascii="Comic Sans MS" w:hAnsi="Comic Sans MS" w:cstheme="minorBidi"/>
          <w:sz w:val="22"/>
          <w:szCs w:val="24"/>
          <w:lang w:val="it-IT" w:eastAsia="en-US"/>
        </w:rPr>
        <w:t xml:space="preserve"> –</w:t>
      </w:r>
      <w:r w:rsidR="00C83CF2">
        <w:rPr>
          <w:rFonts w:ascii="Comic Sans MS" w:hAnsi="Comic Sans MS" w:cstheme="minorBidi"/>
          <w:sz w:val="22"/>
          <w:szCs w:val="24"/>
          <w:lang w:val="it-IT" w:eastAsia="en-US"/>
        </w:rPr>
        <w:t xml:space="preserve"> la prima proposta di legge è del 2001, a iniziativa dell’On. Ruzzante</w:t>
      </w:r>
      <w:r w:rsidR="006A79A3">
        <w:rPr>
          <w:rFonts w:ascii="Comic Sans MS" w:hAnsi="Comic Sans MS" w:cstheme="minorBidi"/>
          <w:sz w:val="22"/>
          <w:szCs w:val="24"/>
          <w:lang w:val="it-IT" w:eastAsia="en-US"/>
        </w:rPr>
        <w:t xml:space="preserve"> e altri</w:t>
      </w:r>
      <w:r w:rsidR="00C83CF2">
        <w:rPr>
          <w:rFonts w:ascii="Comic Sans MS" w:hAnsi="Comic Sans MS" w:cstheme="minorBidi"/>
          <w:sz w:val="22"/>
          <w:szCs w:val="24"/>
          <w:lang w:val="it-IT" w:eastAsia="en-US"/>
        </w:rPr>
        <w:t xml:space="preserve"> – </w:t>
      </w:r>
      <w:r w:rsidR="0070100F">
        <w:rPr>
          <w:rFonts w:ascii="Comic Sans MS" w:hAnsi="Comic Sans MS" w:cstheme="minorBidi"/>
          <w:sz w:val="22"/>
          <w:szCs w:val="24"/>
          <w:lang w:val="it-IT" w:eastAsia="en-US"/>
        </w:rPr>
        <w:t>e</w:t>
      </w:r>
      <w:r w:rsidR="00C83CF2">
        <w:rPr>
          <w:rFonts w:ascii="Comic Sans MS" w:hAnsi="Comic Sans MS" w:cstheme="minorBidi"/>
          <w:sz w:val="22"/>
          <w:szCs w:val="24"/>
          <w:lang w:val="it-IT" w:eastAsia="en-US"/>
        </w:rPr>
        <w:t xml:space="preserve"> il testo approvato</w:t>
      </w:r>
      <w:r w:rsidR="0070100F">
        <w:rPr>
          <w:rFonts w:ascii="Comic Sans MS" w:hAnsi="Comic Sans MS" w:cstheme="minorBidi"/>
          <w:sz w:val="22"/>
          <w:szCs w:val="24"/>
          <w:lang w:val="it-IT" w:eastAsia="en-US"/>
        </w:rPr>
        <w:t xml:space="preserve"> </w:t>
      </w:r>
      <w:r w:rsidR="0023612F">
        <w:rPr>
          <w:rFonts w:ascii="Comic Sans MS" w:hAnsi="Comic Sans MS" w:cstheme="minorBidi"/>
          <w:sz w:val="22"/>
          <w:szCs w:val="24"/>
          <w:lang w:val="it-IT" w:eastAsia="en-US"/>
        </w:rPr>
        <w:t>non appa</w:t>
      </w:r>
      <w:r w:rsidR="0070100F">
        <w:rPr>
          <w:rFonts w:ascii="Comic Sans MS" w:hAnsi="Comic Sans MS" w:cstheme="minorBidi"/>
          <w:sz w:val="22"/>
          <w:szCs w:val="24"/>
          <w:lang w:val="it-IT" w:eastAsia="en-US"/>
        </w:rPr>
        <w:t>iono</w:t>
      </w:r>
      <w:r w:rsidR="00C83CF2">
        <w:rPr>
          <w:rFonts w:ascii="Comic Sans MS" w:hAnsi="Comic Sans MS" w:cstheme="minorBidi"/>
          <w:sz w:val="22"/>
          <w:szCs w:val="24"/>
          <w:lang w:val="it-IT" w:eastAsia="en-US"/>
        </w:rPr>
        <w:t xml:space="preserve"> strettamente</w:t>
      </w:r>
      <w:r w:rsidR="0023612F">
        <w:rPr>
          <w:rFonts w:ascii="Comic Sans MS" w:hAnsi="Comic Sans MS" w:cstheme="minorBidi"/>
          <w:sz w:val="22"/>
          <w:szCs w:val="24"/>
          <w:lang w:val="it-IT" w:eastAsia="en-US"/>
        </w:rPr>
        <w:t xml:space="preserve"> legat</w:t>
      </w:r>
      <w:r w:rsidR="0070100F">
        <w:rPr>
          <w:rFonts w:ascii="Comic Sans MS" w:hAnsi="Comic Sans MS" w:cstheme="minorBidi"/>
          <w:sz w:val="22"/>
          <w:szCs w:val="24"/>
          <w:lang w:val="it-IT" w:eastAsia="en-US"/>
        </w:rPr>
        <w:t>i</w:t>
      </w:r>
      <w:r w:rsidR="0023612F">
        <w:rPr>
          <w:rFonts w:ascii="Comic Sans MS" w:hAnsi="Comic Sans MS" w:cstheme="minorBidi"/>
          <w:sz w:val="22"/>
          <w:szCs w:val="24"/>
          <w:lang w:val="it-IT" w:eastAsia="en-US"/>
        </w:rPr>
        <w:t xml:space="preserve"> alle </w:t>
      </w:r>
      <w:r w:rsidR="00C83CF2">
        <w:rPr>
          <w:rFonts w:ascii="Comic Sans MS" w:hAnsi="Comic Sans MS" w:cstheme="minorBidi"/>
          <w:sz w:val="22"/>
          <w:szCs w:val="24"/>
          <w:lang w:val="it-IT" w:eastAsia="en-US"/>
        </w:rPr>
        <w:t>indicazi</w:t>
      </w:r>
      <w:r w:rsidR="0023612F">
        <w:rPr>
          <w:rFonts w:ascii="Comic Sans MS" w:hAnsi="Comic Sans MS" w:cstheme="minorBidi"/>
          <w:sz w:val="22"/>
          <w:szCs w:val="24"/>
          <w:lang w:val="it-IT" w:eastAsia="en-US"/>
        </w:rPr>
        <w:t>oni della Corte europea, considerato che</w:t>
      </w:r>
      <w:r w:rsidR="005A1065">
        <w:rPr>
          <w:rFonts w:ascii="Comic Sans MS" w:hAnsi="Comic Sans MS" w:cstheme="minorBidi"/>
          <w:sz w:val="22"/>
          <w:szCs w:val="24"/>
          <w:lang w:val="it-IT" w:eastAsia="en-US"/>
        </w:rPr>
        <w:t>,</w:t>
      </w:r>
      <w:r w:rsidR="0023612F">
        <w:rPr>
          <w:rFonts w:ascii="Comic Sans MS" w:hAnsi="Comic Sans MS" w:cstheme="minorBidi"/>
          <w:sz w:val="22"/>
          <w:szCs w:val="24"/>
          <w:lang w:val="it-IT" w:eastAsia="en-US"/>
        </w:rPr>
        <w:t xml:space="preserve"> dopo la ratifica della Convenzione di New York contro la tortura con la Legge n. 489/1998</w:t>
      </w:r>
      <w:r w:rsidR="005A1065">
        <w:rPr>
          <w:rFonts w:ascii="Comic Sans MS" w:hAnsi="Comic Sans MS" w:cstheme="minorBidi"/>
          <w:sz w:val="22"/>
          <w:szCs w:val="24"/>
          <w:lang w:val="it-IT" w:eastAsia="en-US"/>
        </w:rPr>
        <w:t>,</w:t>
      </w:r>
      <w:r w:rsidR="0023612F">
        <w:rPr>
          <w:rFonts w:ascii="Comic Sans MS" w:hAnsi="Comic Sans MS" w:cstheme="minorBidi"/>
          <w:sz w:val="22"/>
          <w:szCs w:val="24"/>
          <w:lang w:val="it-IT" w:eastAsia="en-US"/>
        </w:rPr>
        <w:t xml:space="preserve"> </w:t>
      </w:r>
      <w:r w:rsidR="00B825EC">
        <w:rPr>
          <w:rFonts w:ascii="Comic Sans MS" w:hAnsi="Comic Sans MS" w:cstheme="minorBidi"/>
          <w:sz w:val="22"/>
          <w:szCs w:val="24"/>
          <w:lang w:val="it-IT" w:eastAsia="en-US"/>
        </w:rPr>
        <w:t xml:space="preserve">vi era </w:t>
      </w:r>
      <w:r w:rsidR="006A79A3">
        <w:rPr>
          <w:rFonts w:ascii="Comic Sans MS" w:hAnsi="Comic Sans MS" w:cstheme="minorBidi"/>
          <w:sz w:val="22"/>
          <w:szCs w:val="24"/>
          <w:lang w:val="it-IT" w:eastAsia="en-US"/>
        </w:rPr>
        <w:t>già</w:t>
      </w:r>
      <w:r w:rsidR="00B825EC">
        <w:rPr>
          <w:rFonts w:ascii="Comic Sans MS" w:hAnsi="Comic Sans MS" w:cstheme="minorBidi"/>
          <w:sz w:val="22"/>
          <w:szCs w:val="24"/>
          <w:lang w:val="it-IT" w:eastAsia="en-US"/>
        </w:rPr>
        <w:t xml:space="preserve"> l’obbligo per lo Stato italiano di introdurre il reato di tortura; appare comunque indubbio che</w:t>
      </w:r>
      <w:r w:rsidR="006A79A3">
        <w:rPr>
          <w:rFonts w:ascii="Comic Sans MS" w:hAnsi="Comic Sans MS" w:cstheme="minorBidi"/>
          <w:sz w:val="22"/>
          <w:szCs w:val="24"/>
          <w:lang w:val="it-IT" w:eastAsia="en-US"/>
        </w:rPr>
        <w:t xml:space="preserve"> la gravità dei fatti occorsi e </w:t>
      </w:r>
      <w:r w:rsidR="00B825EC">
        <w:rPr>
          <w:rFonts w:ascii="Comic Sans MS" w:hAnsi="Comic Sans MS" w:cstheme="minorBidi"/>
          <w:sz w:val="22"/>
          <w:szCs w:val="24"/>
          <w:lang w:val="it-IT" w:eastAsia="en-US"/>
        </w:rPr>
        <w:t>l’autorevolezza della giurisprudenza CEDU abbia</w:t>
      </w:r>
      <w:r w:rsidR="006A79A3">
        <w:rPr>
          <w:rFonts w:ascii="Comic Sans MS" w:hAnsi="Comic Sans MS" w:cstheme="minorBidi"/>
          <w:sz w:val="22"/>
          <w:szCs w:val="24"/>
          <w:lang w:val="it-IT" w:eastAsia="en-US"/>
        </w:rPr>
        <w:t>no</w:t>
      </w:r>
      <w:r w:rsidR="00B825EC">
        <w:rPr>
          <w:rFonts w:ascii="Comic Sans MS" w:hAnsi="Comic Sans MS" w:cstheme="minorBidi"/>
          <w:sz w:val="22"/>
          <w:szCs w:val="24"/>
          <w:lang w:val="it-IT" w:eastAsia="en-US"/>
        </w:rPr>
        <w:t xml:space="preserve"> influenzato il dibattito e </w:t>
      </w:r>
      <w:r w:rsidR="005A1065">
        <w:rPr>
          <w:rFonts w:ascii="Comic Sans MS" w:hAnsi="Comic Sans MS" w:cstheme="minorBidi"/>
          <w:sz w:val="22"/>
          <w:szCs w:val="24"/>
          <w:lang w:val="it-IT" w:eastAsia="en-US"/>
        </w:rPr>
        <w:t>accelerato i tempi per</w:t>
      </w:r>
      <w:r w:rsidR="00B825EC">
        <w:rPr>
          <w:rFonts w:ascii="Comic Sans MS" w:hAnsi="Comic Sans MS" w:cstheme="minorBidi"/>
          <w:sz w:val="22"/>
          <w:szCs w:val="24"/>
          <w:lang w:val="it-IT" w:eastAsia="en-US"/>
        </w:rPr>
        <w:t xml:space="preserve"> la</w:t>
      </w:r>
      <w:r w:rsidR="005A1065">
        <w:rPr>
          <w:rFonts w:ascii="Comic Sans MS" w:hAnsi="Comic Sans MS" w:cstheme="minorBidi"/>
          <w:sz w:val="22"/>
          <w:szCs w:val="24"/>
          <w:lang w:val="it-IT" w:eastAsia="en-US"/>
        </w:rPr>
        <w:t xml:space="preserve"> -</w:t>
      </w:r>
      <w:r w:rsidR="00B825EC">
        <w:rPr>
          <w:rFonts w:ascii="Comic Sans MS" w:hAnsi="Comic Sans MS" w:cstheme="minorBidi"/>
          <w:sz w:val="22"/>
          <w:szCs w:val="24"/>
          <w:lang w:val="it-IT" w:eastAsia="en-US"/>
        </w:rPr>
        <w:t xml:space="preserve"> sia pur tardiva</w:t>
      </w:r>
      <w:r w:rsidR="005A1065">
        <w:rPr>
          <w:rFonts w:ascii="Comic Sans MS" w:hAnsi="Comic Sans MS" w:cstheme="minorBidi"/>
          <w:sz w:val="22"/>
          <w:szCs w:val="24"/>
          <w:lang w:val="it-IT" w:eastAsia="en-US"/>
        </w:rPr>
        <w:t xml:space="preserve"> -</w:t>
      </w:r>
      <w:r w:rsidR="00B825EC">
        <w:rPr>
          <w:rFonts w:ascii="Comic Sans MS" w:hAnsi="Comic Sans MS" w:cstheme="minorBidi"/>
          <w:sz w:val="22"/>
          <w:szCs w:val="24"/>
          <w:lang w:val="it-IT" w:eastAsia="en-US"/>
        </w:rPr>
        <w:t xml:space="preserve"> adozione della novella normativa.</w:t>
      </w:r>
    </w:p>
    <w:p w:rsidR="00E97D32" w:rsidRDefault="00B825EC" w:rsidP="007147C0">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 </w:t>
      </w:r>
    </w:p>
    <w:p w:rsidR="00E97D32" w:rsidRPr="00E97D32" w:rsidRDefault="00B127DA" w:rsidP="00E97D32">
      <w:pPr>
        <w:jc w:val="both"/>
        <w:rPr>
          <w:rFonts w:ascii="Comic Sans MS" w:hAnsi="Comic Sans MS"/>
          <w:sz w:val="22"/>
          <w:lang w:val="it-IT"/>
        </w:rPr>
      </w:pPr>
      <w:r>
        <w:rPr>
          <w:rFonts w:ascii="Comic Sans MS" w:hAnsi="Comic Sans MS"/>
          <w:sz w:val="22"/>
          <w:lang w:val="it-IT"/>
        </w:rPr>
        <w:t>Nell’ambito della medesima tipologia di decisioni, v</w:t>
      </w:r>
      <w:r w:rsidR="00E97D32" w:rsidRPr="00E97D32">
        <w:rPr>
          <w:rFonts w:ascii="Comic Sans MS" w:hAnsi="Comic Sans MS"/>
          <w:sz w:val="22"/>
          <w:lang w:val="it-IT"/>
        </w:rPr>
        <w:t xml:space="preserve">a menzionata anche la sentenza </w:t>
      </w:r>
      <w:r w:rsidR="00E97D32" w:rsidRPr="00E97D32">
        <w:rPr>
          <w:rFonts w:ascii="Comic Sans MS" w:hAnsi="Comic Sans MS"/>
          <w:b/>
          <w:i/>
          <w:sz w:val="22"/>
          <w:lang w:val="it-IT"/>
        </w:rPr>
        <w:t>Cusan e Fazzo c</w:t>
      </w:r>
      <w:r>
        <w:rPr>
          <w:rFonts w:ascii="Comic Sans MS" w:hAnsi="Comic Sans MS"/>
          <w:b/>
          <w:i/>
          <w:sz w:val="22"/>
          <w:lang w:val="it-IT"/>
        </w:rPr>
        <w:t>/</w:t>
      </w:r>
      <w:r w:rsidR="00E97D32" w:rsidRPr="00E97D32">
        <w:rPr>
          <w:rFonts w:ascii="Comic Sans MS" w:hAnsi="Comic Sans MS"/>
          <w:b/>
          <w:i/>
          <w:sz w:val="22"/>
          <w:lang w:val="it-IT"/>
        </w:rPr>
        <w:t xml:space="preserve"> Italia</w:t>
      </w:r>
      <w:r w:rsidR="00E97D32" w:rsidRPr="00E97D32">
        <w:rPr>
          <w:rFonts w:ascii="Comic Sans MS" w:hAnsi="Comic Sans MS"/>
          <w:sz w:val="22"/>
          <w:lang w:val="it-IT"/>
        </w:rPr>
        <w:t>, con la quale la Corte europea ha condannato l'Italia per aver violato i diritti di una coppia di coniugi, negando la possibilità di attribuire alla figlia il cognome della madre invece di quello del padre</w:t>
      </w:r>
      <w:r w:rsidR="00E97D32">
        <w:rPr>
          <w:rStyle w:val="Refdenotaalpie"/>
          <w:rFonts w:ascii="Comic Sans MS" w:hAnsi="Comic Sans MS"/>
          <w:sz w:val="22"/>
          <w:lang w:val="it-IT"/>
        </w:rPr>
        <w:footnoteReference w:id="6"/>
      </w:r>
      <w:r w:rsidR="00E97D32" w:rsidRPr="00E97D32">
        <w:rPr>
          <w:rFonts w:ascii="Comic Sans MS" w:hAnsi="Comic Sans MS"/>
          <w:sz w:val="22"/>
          <w:lang w:val="it-IT"/>
        </w:rPr>
        <w:t>.</w:t>
      </w:r>
    </w:p>
    <w:p w:rsidR="00E97D32" w:rsidRPr="00E97D32" w:rsidRDefault="00E97D32" w:rsidP="00E97D32">
      <w:pPr>
        <w:jc w:val="both"/>
        <w:rPr>
          <w:rFonts w:ascii="Comic Sans MS" w:hAnsi="Comic Sans MS"/>
          <w:sz w:val="22"/>
          <w:lang w:val="it-IT"/>
        </w:rPr>
      </w:pPr>
      <w:r w:rsidRPr="00E97D32">
        <w:rPr>
          <w:rFonts w:ascii="Comic Sans MS" w:hAnsi="Comic Sans MS"/>
          <w:sz w:val="22"/>
          <w:lang w:val="it-IT"/>
        </w:rPr>
        <w:t xml:space="preserve">Di estremo interesse appaiono le annotazioni della Corte sull'articolo 46 della Convenzione e sull’obbligo per le Alte Parti contraenti di conformarsi alle sentenze definitive della Corte nelle controversie nelle quali sono parti. I giudici sottolineano </w:t>
      </w:r>
      <w:r w:rsidR="00BD4163">
        <w:rPr>
          <w:rFonts w:ascii="Comic Sans MS" w:hAnsi="Comic Sans MS"/>
          <w:sz w:val="22"/>
          <w:lang w:val="it-IT"/>
        </w:rPr>
        <w:t xml:space="preserve">ancora una volta </w:t>
      </w:r>
      <w:r w:rsidRPr="00E97D32">
        <w:rPr>
          <w:rFonts w:ascii="Comic Sans MS" w:hAnsi="Comic Sans MS"/>
          <w:sz w:val="22"/>
          <w:lang w:val="it-IT"/>
        </w:rPr>
        <w:t xml:space="preserve">come, a fronte di un’accertata violazione, lo Stato convenuto abbia l'obbligo giuridico di scegliere, sotto il controllo del Comitato dei Ministri, le misure generali o, se del caso, individuali per integrare l’ordinamento giuridico interno per porre fine alla violazione constatata e per rimediare, per quanto possibile, agli effetti di essa </w:t>
      </w:r>
    </w:p>
    <w:p w:rsidR="00E97D32" w:rsidRPr="00E97D32" w:rsidRDefault="00E97D32" w:rsidP="00E97D32">
      <w:pPr>
        <w:pStyle w:val="JuPara"/>
        <w:ind w:firstLine="0"/>
        <w:rPr>
          <w:rFonts w:ascii="Comic Sans MS" w:hAnsi="Comic Sans MS"/>
          <w:sz w:val="22"/>
          <w:lang w:val="it-IT"/>
        </w:rPr>
      </w:pPr>
      <w:r w:rsidRPr="00E97D32">
        <w:rPr>
          <w:rFonts w:ascii="Comic Sans MS" w:hAnsi="Comic Sans MS"/>
          <w:sz w:val="22"/>
          <w:lang w:val="it-IT"/>
        </w:rPr>
        <w:t xml:space="preserve">Poiché nel caso di specie è stata constatata l’esistenza di una lacuna nella legislazione nazionale, la Corte </w:t>
      </w:r>
      <w:r w:rsidR="00BD4163">
        <w:rPr>
          <w:rFonts w:ascii="Comic Sans MS" w:hAnsi="Comic Sans MS"/>
          <w:sz w:val="22"/>
          <w:lang w:val="it-IT"/>
        </w:rPr>
        <w:t xml:space="preserve">ha </w:t>
      </w:r>
      <w:r w:rsidRPr="00E97D32">
        <w:rPr>
          <w:rFonts w:ascii="Comic Sans MS" w:hAnsi="Comic Sans MS"/>
          <w:sz w:val="22"/>
          <w:lang w:val="it-IT"/>
        </w:rPr>
        <w:t>rit</w:t>
      </w:r>
      <w:r w:rsidR="00BD4163">
        <w:rPr>
          <w:rFonts w:ascii="Comic Sans MS" w:hAnsi="Comic Sans MS"/>
          <w:sz w:val="22"/>
          <w:lang w:val="it-IT"/>
        </w:rPr>
        <w:t>enuto</w:t>
      </w:r>
      <w:r w:rsidRPr="00E97D32">
        <w:rPr>
          <w:rFonts w:ascii="Comic Sans MS" w:hAnsi="Comic Sans MS"/>
          <w:sz w:val="22"/>
          <w:lang w:val="it-IT"/>
        </w:rPr>
        <w:t xml:space="preserve"> “</w:t>
      </w:r>
      <w:r w:rsidRPr="00E97D32">
        <w:rPr>
          <w:rFonts w:ascii="Comic Sans MS" w:hAnsi="Comic Sans MS"/>
          <w:i/>
          <w:sz w:val="22"/>
          <w:lang w:val="it-IT"/>
        </w:rPr>
        <w:t>che dovrebbero essere adottate riforme nella legislazione e/o nella prassi italiane al fine di rendere tale legislazione e tale prassi compatibili con le conclusioni alle quali è giunta nella presente sentenza, e di garantire che siano rispettate le esigenze degli articoli 8 e 14 della Convenzione</w:t>
      </w:r>
      <w:r w:rsidRPr="00E97D32">
        <w:rPr>
          <w:rFonts w:ascii="Comic Sans MS" w:hAnsi="Comic Sans MS"/>
          <w:sz w:val="22"/>
          <w:lang w:val="it-IT"/>
        </w:rPr>
        <w:t>”.</w:t>
      </w:r>
    </w:p>
    <w:p w:rsidR="009134BA" w:rsidRPr="009134BA" w:rsidRDefault="00E50D61" w:rsidP="009134BA">
      <w:pPr>
        <w:jc w:val="both"/>
        <w:rPr>
          <w:rFonts w:ascii="Comic Sans MS" w:hAnsi="Comic Sans MS"/>
          <w:sz w:val="22"/>
          <w:lang w:val="it-IT"/>
        </w:rPr>
      </w:pPr>
      <w:r>
        <w:rPr>
          <w:rFonts w:ascii="Comic Sans MS" w:hAnsi="Comic Sans MS"/>
          <w:sz w:val="22"/>
          <w:lang w:val="it-IT"/>
        </w:rPr>
        <w:t xml:space="preserve">Come è noto, la questione non è stata ancora risolta nel senso auspicato dalla Corte europea, </w:t>
      </w:r>
      <w:r w:rsidR="009134BA">
        <w:rPr>
          <w:rFonts w:ascii="Comic Sans MS" w:hAnsi="Comic Sans MS"/>
          <w:sz w:val="22"/>
          <w:lang w:val="it-IT"/>
        </w:rPr>
        <w:t xml:space="preserve">malgrado </w:t>
      </w:r>
      <w:r>
        <w:rPr>
          <w:rFonts w:ascii="Comic Sans MS" w:hAnsi="Comic Sans MS"/>
          <w:sz w:val="22"/>
          <w:lang w:val="it-IT"/>
        </w:rPr>
        <w:t>l’intervento della Corte Costituzionale</w:t>
      </w:r>
      <w:r w:rsidR="009134BA">
        <w:rPr>
          <w:rFonts w:ascii="Comic Sans MS" w:hAnsi="Comic Sans MS"/>
          <w:sz w:val="22"/>
          <w:lang w:val="it-IT"/>
        </w:rPr>
        <w:t xml:space="preserve"> che,</w:t>
      </w:r>
      <w:r>
        <w:rPr>
          <w:rFonts w:ascii="Comic Sans MS" w:hAnsi="Comic Sans MS"/>
          <w:sz w:val="22"/>
          <w:lang w:val="it-IT"/>
        </w:rPr>
        <w:t xml:space="preserve"> con la sentenza n. 286/2016</w:t>
      </w:r>
      <w:r w:rsidR="009134BA">
        <w:rPr>
          <w:rFonts w:ascii="Comic Sans MS" w:hAnsi="Comic Sans MS"/>
          <w:sz w:val="22"/>
          <w:lang w:val="it-IT"/>
        </w:rPr>
        <w:t>,</w:t>
      </w:r>
      <w:r>
        <w:rPr>
          <w:rFonts w:ascii="Comic Sans MS" w:hAnsi="Comic Sans MS"/>
          <w:sz w:val="22"/>
          <w:lang w:val="it-IT"/>
        </w:rPr>
        <w:t xml:space="preserve"> </w:t>
      </w:r>
      <w:r w:rsidR="009134BA">
        <w:rPr>
          <w:rFonts w:ascii="Comic Sans MS" w:hAnsi="Comic Sans MS"/>
          <w:sz w:val="22"/>
          <w:lang w:val="it-IT"/>
        </w:rPr>
        <w:t xml:space="preserve">ha dichiarato l’illegittimità della normativa in vigore, </w:t>
      </w:r>
      <w:r w:rsidR="009134BA" w:rsidRPr="009134BA">
        <w:rPr>
          <w:rFonts w:ascii="Comic Sans MS" w:hAnsi="Comic Sans MS"/>
          <w:sz w:val="22"/>
          <w:lang w:val="it-IT"/>
        </w:rPr>
        <w:t>nella parte in cui non consente ai genitori – i quali ne facciano concorde richiesta al momento della nascita – di attribuire al figlio anche il cognome materno.</w:t>
      </w:r>
    </w:p>
    <w:p w:rsidR="009134BA" w:rsidRDefault="009134BA" w:rsidP="009134BA">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Il disegno di legge che stabilisce la possibilità di attribuire il solo cognome materno si trova, invece, ancora all’esame del Parlamento</w:t>
      </w:r>
      <w:r w:rsidR="00FB13D4">
        <w:rPr>
          <w:rFonts w:ascii="Comic Sans MS" w:hAnsi="Comic Sans MS" w:cstheme="minorBidi"/>
          <w:sz w:val="22"/>
          <w:szCs w:val="24"/>
          <w:lang w:val="it-IT" w:eastAsia="en-US"/>
        </w:rPr>
        <w:t xml:space="preserve"> (dopo essere stato approvato dalla Camera nella precedente legislatura)</w:t>
      </w:r>
      <w:r>
        <w:rPr>
          <w:rFonts w:ascii="Comic Sans MS" w:hAnsi="Comic Sans MS" w:cstheme="minorBidi"/>
          <w:sz w:val="22"/>
          <w:szCs w:val="24"/>
          <w:lang w:val="it-IT" w:eastAsia="en-US"/>
        </w:rPr>
        <w:t>.</w:t>
      </w:r>
    </w:p>
    <w:p w:rsidR="00AF0BDA" w:rsidRDefault="009134BA" w:rsidP="007147C0">
      <w:pPr>
        <w:pStyle w:val="NormalWeb"/>
        <w:spacing w:before="2" w:after="2"/>
        <w:jc w:val="both"/>
        <w:rPr>
          <w:rFonts w:ascii="Comic Sans MS" w:hAnsi="Comic Sans MS" w:cstheme="minorBidi"/>
          <w:sz w:val="22"/>
          <w:szCs w:val="24"/>
          <w:lang w:val="it-IT" w:eastAsia="en-US"/>
        </w:rPr>
      </w:pPr>
      <w:r>
        <w:rPr>
          <w:rFonts w:ascii="Comic Sans MS" w:hAnsi="Comic Sans MS" w:cstheme="minorBidi"/>
          <w:sz w:val="22"/>
          <w:szCs w:val="24"/>
          <w:lang w:val="it-IT" w:eastAsia="en-US"/>
        </w:rPr>
        <w:t xml:space="preserve"> </w:t>
      </w:r>
    </w:p>
    <w:p w:rsidR="003B3864" w:rsidRPr="003B3864" w:rsidRDefault="003B3864" w:rsidP="007147C0">
      <w:pPr>
        <w:pStyle w:val="NormalWeb"/>
        <w:spacing w:before="2" w:after="2"/>
        <w:jc w:val="both"/>
        <w:rPr>
          <w:rFonts w:ascii="Comic Sans MS" w:hAnsi="Comic Sans MS" w:cstheme="minorBidi"/>
          <w:b/>
          <w:sz w:val="22"/>
          <w:szCs w:val="24"/>
          <w:lang w:val="it-IT" w:eastAsia="en-US"/>
        </w:rPr>
      </w:pPr>
      <w:r w:rsidRPr="003B3864">
        <w:rPr>
          <w:rFonts w:ascii="Comic Sans MS" w:hAnsi="Comic Sans MS" w:cstheme="minorBidi"/>
          <w:b/>
          <w:sz w:val="22"/>
          <w:szCs w:val="24"/>
          <w:lang w:val="it-IT" w:eastAsia="en-US"/>
        </w:rPr>
        <w:t>L’eccessiva durata dei procedimenti giudiziari.</w:t>
      </w:r>
    </w:p>
    <w:p w:rsidR="00D11728" w:rsidRPr="000E4B00" w:rsidRDefault="00056810" w:rsidP="000E4B00">
      <w:pPr>
        <w:pStyle w:val="NormalWeb"/>
        <w:spacing w:before="2" w:after="2"/>
        <w:jc w:val="both"/>
        <w:rPr>
          <w:rFonts w:ascii="Comic Sans MS" w:hAnsi="Comic Sans MS" w:cstheme="minorBidi"/>
          <w:sz w:val="22"/>
          <w:szCs w:val="24"/>
          <w:lang w:val="it-IT" w:eastAsia="en-US"/>
        </w:rPr>
      </w:pPr>
      <w:r w:rsidRPr="000E4B00">
        <w:rPr>
          <w:rFonts w:ascii="Comic Sans MS" w:hAnsi="Comic Sans MS" w:cstheme="minorBidi"/>
          <w:sz w:val="22"/>
          <w:szCs w:val="24"/>
          <w:lang w:val="it-IT" w:eastAsia="en-US"/>
        </w:rPr>
        <w:t xml:space="preserve">Altro storico problema dello Stato italiano, oggetto di numerosissime pronunce della Corte europea, è quello della eccessiva durata </w:t>
      </w:r>
      <w:r w:rsidR="00D11728" w:rsidRPr="000E4B00">
        <w:rPr>
          <w:rFonts w:ascii="Comic Sans MS" w:hAnsi="Comic Sans MS" w:cstheme="minorBidi"/>
          <w:sz w:val="22"/>
          <w:szCs w:val="24"/>
          <w:lang w:val="it-IT" w:eastAsia="en-US"/>
        </w:rPr>
        <w:t>dei processi.</w:t>
      </w:r>
    </w:p>
    <w:p w:rsidR="00A96000" w:rsidRDefault="00D11728" w:rsidP="007147C0">
      <w:pPr>
        <w:widowControl w:val="0"/>
        <w:autoSpaceDE w:val="0"/>
        <w:autoSpaceDN w:val="0"/>
        <w:adjustRightInd w:val="0"/>
        <w:jc w:val="both"/>
        <w:rPr>
          <w:rFonts w:ascii="Comic Sans MS" w:hAnsi="Comic Sans MS"/>
          <w:sz w:val="22"/>
          <w:lang w:val="it-IT"/>
        </w:rPr>
      </w:pPr>
      <w:r>
        <w:rPr>
          <w:rFonts w:ascii="Comic Sans MS" w:hAnsi="Comic Sans MS"/>
          <w:sz w:val="22"/>
          <w:lang w:val="it-IT"/>
        </w:rPr>
        <w:t>Nel 2001</w:t>
      </w:r>
      <w:r w:rsidR="00A96000">
        <w:rPr>
          <w:rFonts w:ascii="Comic Sans MS" w:hAnsi="Comic Sans MS"/>
          <w:sz w:val="22"/>
          <w:lang w:val="it-IT"/>
        </w:rPr>
        <w:t>,</w:t>
      </w:r>
      <w:r>
        <w:rPr>
          <w:rFonts w:ascii="Comic Sans MS" w:hAnsi="Comic Sans MS"/>
          <w:sz w:val="22"/>
          <w:lang w:val="it-IT"/>
        </w:rPr>
        <w:t xml:space="preserve"> con la Legge</w:t>
      </w:r>
      <w:r w:rsidR="00604E4F">
        <w:rPr>
          <w:rFonts w:ascii="Comic Sans MS" w:hAnsi="Comic Sans MS"/>
          <w:sz w:val="22"/>
          <w:lang w:val="it-IT"/>
        </w:rPr>
        <w:t xml:space="preserve"> </w:t>
      </w:r>
      <w:r>
        <w:rPr>
          <w:rFonts w:ascii="Comic Sans MS" w:hAnsi="Comic Sans MS"/>
          <w:sz w:val="22"/>
          <w:lang w:val="it-IT"/>
        </w:rPr>
        <w:t>“</w:t>
      </w:r>
      <w:r w:rsidR="00604E4F">
        <w:rPr>
          <w:rFonts w:ascii="Comic Sans MS" w:hAnsi="Comic Sans MS"/>
          <w:sz w:val="22"/>
          <w:lang w:val="it-IT"/>
        </w:rPr>
        <w:t>Pinto</w:t>
      </w:r>
      <w:r>
        <w:rPr>
          <w:rFonts w:ascii="Comic Sans MS" w:hAnsi="Comic Sans MS"/>
          <w:sz w:val="22"/>
          <w:lang w:val="it-IT"/>
        </w:rPr>
        <w:t>” n. 89/2001</w:t>
      </w:r>
      <w:r w:rsidR="00A96000">
        <w:rPr>
          <w:rFonts w:ascii="Comic Sans MS" w:hAnsi="Comic Sans MS"/>
          <w:sz w:val="22"/>
          <w:lang w:val="it-IT"/>
        </w:rPr>
        <w:t>,</w:t>
      </w:r>
      <w:r>
        <w:rPr>
          <w:rFonts w:ascii="Comic Sans MS" w:hAnsi="Comic Sans MS"/>
          <w:sz w:val="22"/>
          <w:lang w:val="it-IT"/>
        </w:rPr>
        <w:t xml:space="preserve"> è stata introdotta una via di ricorso nazionale</w:t>
      </w:r>
      <w:r w:rsidR="00653F3F">
        <w:rPr>
          <w:rFonts w:ascii="Comic Sans MS" w:hAnsi="Comic Sans MS"/>
          <w:sz w:val="22"/>
          <w:lang w:val="it-IT"/>
        </w:rPr>
        <w:t>,</w:t>
      </w:r>
      <w:r>
        <w:rPr>
          <w:rFonts w:ascii="Comic Sans MS" w:hAnsi="Comic Sans MS"/>
          <w:sz w:val="22"/>
          <w:lang w:val="it-IT"/>
        </w:rPr>
        <w:t xml:space="preserve"> che consente di addivenire a un’equa riparazione per chi ha subito un danno patrimoniale o non patrimoniale per effetto della violazione dell’art. 6 della Convenzione</w:t>
      </w:r>
      <w:r w:rsidR="00776469">
        <w:rPr>
          <w:rFonts w:ascii="Comic Sans MS" w:hAnsi="Comic Sans MS"/>
          <w:sz w:val="22"/>
          <w:lang w:val="it-IT"/>
        </w:rPr>
        <w:t xml:space="preserve"> legata all’eccessiva durata dei processi</w:t>
      </w:r>
      <w:r>
        <w:rPr>
          <w:rFonts w:ascii="Comic Sans MS" w:hAnsi="Comic Sans MS"/>
          <w:sz w:val="22"/>
          <w:lang w:val="it-IT"/>
        </w:rPr>
        <w:t xml:space="preserve">; in sostanza, il riconoscimento del danno da irragionevole durata del procedimento giudiziario </w:t>
      </w:r>
      <w:r w:rsidR="00A96000">
        <w:rPr>
          <w:rFonts w:ascii="Comic Sans MS" w:hAnsi="Comic Sans MS"/>
          <w:sz w:val="22"/>
          <w:lang w:val="it-IT"/>
        </w:rPr>
        <w:t xml:space="preserve">e il rispetto della norma convenzionale </w:t>
      </w:r>
      <w:r>
        <w:rPr>
          <w:rFonts w:ascii="Comic Sans MS" w:hAnsi="Comic Sans MS"/>
          <w:sz w:val="22"/>
          <w:lang w:val="it-IT"/>
        </w:rPr>
        <w:t>v</w:t>
      </w:r>
      <w:r w:rsidR="00A96000">
        <w:rPr>
          <w:rFonts w:ascii="Comic Sans MS" w:hAnsi="Comic Sans MS"/>
          <w:sz w:val="22"/>
          <w:lang w:val="it-IT"/>
        </w:rPr>
        <w:t>engono</w:t>
      </w:r>
      <w:r>
        <w:rPr>
          <w:rFonts w:ascii="Comic Sans MS" w:hAnsi="Comic Sans MS"/>
          <w:sz w:val="22"/>
          <w:lang w:val="it-IT"/>
        </w:rPr>
        <w:t xml:space="preserve"> assicurat</w:t>
      </w:r>
      <w:r w:rsidR="00A96000">
        <w:rPr>
          <w:rFonts w:ascii="Comic Sans MS" w:hAnsi="Comic Sans MS"/>
          <w:sz w:val="22"/>
          <w:lang w:val="it-IT"/>
        </w:rPr>
        <w:t>i</w:t>
      </w:r>
      <w:r>
        <w:rPr>
          <w:rFonts w:ascii="Comic Sans MS" w:hAnsi="Comic Sans MS"/>
          <w:sz w:val="22"/>
          <w:lang w:val="it-IT"/>
        </w:rPr>
        <w:t xml:space="preserve"> – in ossequio al principio di sussidiarietà</w:t>
      </w:r>
      <w:r w:rsidR="00A96000">
        <w:rPr>
          <w:rFonts w:ascii="Comic Sans MS" w:hAnsi="Comic Sans MS"/>
          <w:sz w:val="22"/>
          <w:lang w:val="it-IT"/>
        </w:rPr>
        <w:t xml:space="preserve"> – </w:t>
      </w:r>
      <w:r w:rsidR="00653F3F">
        <w:rPr>
          <w:rFonts w:ascii="Comic Sans MS" w:hAnsi="Comic Sans MS"/>
          <w:sz w:val="22"/>
          <w:lang w:val="it-IT"/>
        </w:rPr>
        <w:t>tramite</w:t>
      </w:r>
      <w:r w:rsidR="00A96000">
        <w:rPr>
          <w:rFonts w:ascii="Comic Sans MS" w:hAnsi="Comic Sans MS"/>
          <w:sz w:val="22"/>
          <w:lang w:val="it-IT"/>
        </w:rPr>
        <w:t xml:space="preserve"> un procedimento giudiziario nazionale.</w:t>
      </w:r>
    </w:p>
    <w:p w:rsidR="00A96000" w:rsidRDefault="0092713D" w:rsidP="00B706D2">
      <w:pPr>
        <w:widowControl w:val="0"/>
        <w:autoSpaceDE w:val="0"/>
        <w:autoSpaceDN w:val="0"/>
        <w:adjustRightInd w:val="0"/>
        <w:jc w:val="both"/>
        <w:rPr>
          <w:rFonts w:ascii="Comic Sans MS" w:hAnsi="Comic Sans MS"/>
          <w:sz w:val="22"/>
          <w:lang w:val="it-IT"/>
        </w:rPr>
      </w:pPr>
      <w:r>
        <w:rPr>
          <w:rFonts w:ascii="Comic Sans MS" w:hAnsi="Comic Sans MS"/>
          <w:sz w:val="22"/>
          <w:lang w:val="it-IT"/>
        </w:rPr>
        <w:t>Tuttavia</w:t>
      </w:r>
      <w:r w:rsidR="00A96000">
        <w:rPr>
          <w:rFonts w:ascii="Comic Sans MS" w:hAnsi="Comic Sans MS"/>
          <w:sz w:val="22"/>
          <w:lang w:val="it-IT"/>
        </w:rPr>
        <w:t>, l’elevato numero di ricorsi</w:t>
      </w:r>
      <w:r w:rsidR="00776469">
        <w:rPr>
          <w:rFonts w:ascii="Comic Sans MS" w:hAnsi="Comic Sans MS"/>
          <w:sz w:val="22"/>
          <w:lang w:val="it-IT"/>
        </w:rPr>
        <w:t xml:space="preserve"> -</w:t>
      </w:r>
      <w:r w:rsidR="00A96000">
        <w:rPr>
          <w:rFonts w:ascii="Comic Sans MS" w:hAnsi="Comic Sans MS"/>
          <w:sz w:val="22"/>
          <w:lang w:val="it-IT"/>
        </w:rPr>
        <w:t xml:space="preserve"> e di conseguenti condanne</w:t>
      </w:r>
      <w:r w:rsidR="00062E5A">
        <w:rPr>
          <w:rFonts w:ascii="Comic Sans MS" w:hAnsi="Comic Sans MS"/>
          <w:sz w:val="22"/>
          <w:lang w:val="it-IT"/>
        </w:rPr>
        <w:t xml:space="preserve"> in sede nazionale</w:t>
      </w:r>
      <w:r w:rsidR="00776469">
        <w:rPr>
          <w:rFonts w:ascii="Comic Sans MS" w:hAnsi="Comic Sans MS"/>
          <w:sz w:val="22"/>
          <w:lang w:val="it-IT"/>
        </w:rPr>
        <w:t xml:space="preserve"> -</w:t>
      </w:r>
      <w:r w:rsidR="00A96000">
        <w:rPr>
          <w:rFonts w:ascii="Comic Sans MS" w:hAnsi="Comic Sans MS"/>
          <w:sz w:val="22"/>
          <w:lang w:val="it-IT"/>
        </w:rPr>
        <w:t xml:space="preserve"> ha posto in seria difficoltà lo Stato italiano, che ha accumulato notevoli ritardi nell’esecuzione delle decisioni “Pinto”, provocando una nuova ondata di ricorsi al giudice europeo.</w:t>
      </w:r>
    </w:p>
    <w:p w:rsidR="00E53268" w:rsidRDefault="00A96000" w:rsidP="00B706D2">
      <w:pPr>
        <w:widowControl w:val="0"/>
        <w:autoSpaceDE w:val="0"/>
        <w:autoSpaceDN w:val="0"/>
        <w:adjustRightInd w:val="0"/>
        <w:jc w:val="both"/>
        <w:rPr>
          <w:rFonts w:ascii="Comic Sans MS" w:hAnsi="Comic Sans MS"/>
          <w:sz w:val="22"/>
          <w:lang w:val="it-IT"/>
        </w:rPr>
      </w:pPr>
      <w:r>
        <w:rPr>
          <w:rFonts w:ascii="Comic Sans MS" w:hAnsi="Comic Sans MS"/>
          <w:sz w:val="22"/>
          <w:lang w:val="it-IT"/>
        </w:rPr>
        <w:t>Per far fronte alla complessa situazione, è stato predisposto</w:t>
      </w:r>
      <w:r w:rsidR="0044373E">
        <w:rPr>
          <w:rFonts w:ascii="Comic Sans MS" w:hAnsi="Comic Sans MS"/>
          <w:sz w:val="22"/>
          <w:lang w:val="it-IT"/>
        </w:rPr>
        <w:t xml:space="preserve"> nel 2012</w:t>
      </w:r>
      <w:r>
        <w:rPr>
          <w:rFonts w:ascii="Comic Sans MS" w:hAnsi="Comic Sans MS"/>
          <w:sz w:val="22"/>
          <w:lang w:val="it-IT"/>
        </w:rPr>
        <w:t xml:space="preserve"> il </w:t>
      </w:r>
      <w:r w:rsidRPr="00E53268">
        <w:rPr>
          <w:rFonts w:ascii="Comic Sans MS" w:hAnsi="Comic Sans MS"/>
          <w:sz w:val="22"/>
          <w:u w:val="single"/>
          <w:lang w:val="it-IT"/>
        </w:rPr>
        <w:t>Piano d’Azione</w:t>
      </w:r>
      <w:r w:rsidRPr="00AD7DE9">
        <w:rPr>
          <w:rFonts w:ascii="Comic Sans MS" w:hAnsi="Comic Sans MS"/>
          <w:sz w:val="22"/>
          <w:u w:val="single"/>
          <w:lang w:val="it-IT"/>
        </w:rPr>
        <w:t xml:space="preserve"> </w:t>
      </w:r>
      <w:r w:rsidRPr="00E53268">
        <w:rPr>
          <w:rFonts w:ascii="Comic Sans MS" w:hAnsi="Comic Sans MS"/>
          <w:sz w:val="22"/>
          <w:u w:val="single"/>
          <w:lang w:val="it-IT"/>
        </w:rPr>
        <w:t>Pinto</w:t>
      </w:r>
      <w:r>
        <w:rPr>
          <w:rFonts w:ascii="Comic Sans MS" w:hAnsi="Comic Sans MS"/>
          <w:sz w:val="22"/>
          <w:lang w:val="it-IT"/>
        </w:rPr>
        <w:t xml:space="preserve">, con l’obiettivo di chiudere il contenzioso seriale di circa 7.000 ricorsi pendenti a Strasburgo e, in sede nazionale, di </w:t>
      </w:r>
      <w:r w:rsidR="00E53268">
        <w:rPr>
          <w:rFonts w:ascii="Comic Sans MS" w:hAnsi="Comic Sans MS"/>
          <w:sz w:val="22"/>
          <w:lang w:val="it-IT"/>
        </w:rPr>
        <w:t>eseguire celermente i pagamenti degli indennizzi già riconosciuti</w:t>
      </w:r>
      <w:r w:rsidR="00AD7DE9">
        <w:rPr>
          <w:rFonts w:ascii="Comic Sans MS" w:hAnsi="Comic Sans MS"/>
          <w:sz w:val="22"/>
          <w:lang w:val="it-IT"/>
        </w:rPr>
        <w:t xml:space="preserve"> in via giudiziaria</w:t>
      </w:r>
      <w:r w:rsidR="00E53268">
        <w:rPr>
          <w:rFonts w:ascii="Comic Sans MS" w:hAnsi="Comic Sans MS"/>
          <w:sz w:val="22"/>
          <w:lang w:val="it-IT"/>
        </w:rPr>
        <w:t>.</w:t>
      </w:r>
    </w:p>
    <w:p w:rsidR="000563D9" w:rsidRDefault="000563D9" w:rsidP="000563D9">
      <w:pPr>
        <w:pStyle w:val="JuPara"/>
        <w:tabs>
          <w:tab w:val="left" w:pos="952"/>
        </w:tabs>
        <w:ind w:firstLine="0"/>
        <w:rPr>
          <w:rFonts w:ascii="Comic Sans MS" w:hAnsi="Comic Sans MS"/>
          <w:sz w:val="22"/>
          <w:lang w:val="it-IT"/>
        </w:rPr>
      </w:pPr>
      <w:r>
        <w:rPr>
          <w:rFonts w:ascii="Comic Sans MS" w:hAnsi="Comic Sans MS"/>
          <w:sz w:val="22"/>
          <w:lang w:val="it-IT"/>
        </w:rPr>
        <w:t xml:space="preserve">Sulla scorta della sentenza </w:t>
      </w:r>
      <w:r w:rsidR="00821165">
        <w:rPr>
          <w:rFonts w:ascii="Comic Sans MS" w:hAnsi="Comic Sans MS"/>
          <w:i/>
          <w:sz w:val="22"/>
          <w:lang w:val="it-IT"/>
        </w:rPr>
        <w:t>Gaglione e altri c/</w:t>
      </w:r>
      <w:r>
        <w:rPr>
          <w:rFonts w:ascii="Comic Sans MS" w:hAnsi="Comic Sans MS"/>
          <w:i/>
          <w:sz w:val="22"/>
          <w:lang w:val="it-IT"/>
        </w:rPr>
        <w:t xml:space="preserve"> Italia</w:t>
      </w:r>
      <w:r>
        <w:rPr>
          <w:rFonts w:ascii="Comic Sans MS" w:hAnsi="Comic Sans MS"/>
          <w:sz w:val="22"/>
          <w:lang w:val="it-IT"/>
        </w:rPr>
        <w:t xml:space="preserve"> del 21.12.2010, il Governo ha concordato con la Cancelleria della Corte la possibile definizione con regolamento amichevole dei 7.000 ricorsi</w:t>
      </w:r>
      <w:r w:rsidR="0044373E">
        <w:rPr>
          <w:rFonts w:ascii="Comic Sans MS" w:hAnsi="Comic Sans MS"/>
          <w:sz w:val="22"/>
          <w:lang w:val="it-IT"/>
        </w:rPr>
        <w:t>,</w:t>
      </w:r>
      <w:r>
        <w:rPr>
          <w:rFonts w:ascii="Comic Sans MS" w:hAnsi="Comic Sans MS"/>
          <w:sz w:val="22"/>
          <w:lang w:val="it-IT"/>
        </w:rPr>
        <w:t xml:space="preserve"> mediante l’offerta di una somma forfettaria di 200</w:t>
      </w:r>
      <w:r w:rsidR="0044373E">
        <w:rPr>
          <w:rFonts w:ascii="Comic Sans MS" w:hAnsi="Comic Sans MS"/>
          <w:sz w:val="22"/>
          <w:lang w:val="it-IT"/>
        </w:rPr>
        <w:t>,00</w:t>
      </w:r>
      <w:r>
        <w:rPr>
          <w:rFonts w:ascii="Comic Sans MS" w:hAnsi="Comic Sans MS"/>
          <w:sz w:val="22"/>
          <w:lang w:val="it-IT"/>
        </w:rPr>
        <w:t xml:space="preserve"> a ciascun ricorrente, oltre alle spese legali.</w:t>
      </w:r>
    </w:p>
    <w:p w:rsidR="000563D9" w:rsidRDefault="000563D9" w:rsidP="000563D9">
      <w:pPr>
        <w:pStyle w:val="JuPara"/>
        <w:tabs>
          <w:tab w:val="left" w:pos="952"/>
        </w:tabs>
        <w:ind w:firstLine="0"/>
        <w:rPr>
          <w:rFonts w:ascii="Comic Sans MS" w:hAnsi="Comic Sans MS"/>
          <w:sz w:val="22"/>
          <w:lang w:val="it-IT"/>
        </w:rPr>
      </w:pPr>
      <w:r>
        <w:rPr>
          <w:rFonts w:ascii="Comic Sans MS" w:hAnsi="Comic Sans MS"/>
          <w:sz w:val="22"/>
          <w:lang w:val="it-IT"/>
        </w:rPr>
        <w:t>Il Piano di Azione ha coinvolto la Presidenza del Consiglio, il Ministero della Giustizia, il Ministero degli Affari Esteri e della Cooperazione Internazionale e il Ministero della Economia e Finanze.</w:t>
      </w:r>
    </w:p>
    <w:p w:rsidR="000E54DC" w:rsidRDefault="0044373E" w:rsidP="000563D9">
      <w:pPr>
        <w:pStyle w:val="JuPara"/>
        <w:tabs>
          <w:tab w:val="left" w:pos="952"/>
        </w:tabs>
        <w:ind w:firstLine="0"/>
        <w:rPr>
          <w:rFonts w:ascii="Comic Sans MS" w:hAnsi="Comic Sans MS"/>
          <w:sz w:val="22"/>
          <w:lang w:val="it-IT"/>
        </w:rPr>
      </w:pPr>
      <w:r>
        <w:rPr>
          <w:rFonts w:ascii="Comic Sans MS" w:hAnsi="Comic Sans MS"/>
          <w:sz w:val="22"/>
          <w:lang w:val="it-IT"/>
        </w:rPr>
        <w:t>A livello nazionale, s</w:t>
      </w:r>
      <w:r w:rsidR="00C23E4D">
        <w:rPr>
          <w:rFonts w:ascii="Comic Sans MS" w:hAnsi="Comic Sans MS"/>
          <w:sz w:val="22"/>
          <w:lang w:val="it-IT"/>
        </w:rPr>
        <w:t xml:space="preserve">empre nel 2012, è stata approvata una </w:t>
      </w:r>
      <w:r w:rsidR="000563D9">
        <w:rPr>
          <w:rFonts w:ascii="Comic Sans MS" w:hAnsi="Comic Sans MS"/>
          <w:sz w:val="22"/>
          <w:lang w:val="it-IT"/>
        </w:rPr>
        <w:t xml:space="preserve">riforma della Legge “Pinto” </w:t>
      </w:r>
      <w:r w:rsidR="00065964">
        <w:rPr>
          <w:rFonts w:ascii="Comic Sans MS" w:hAnsi="Comic Sans MS"/>
          <w:sz w:val="22"/>
          <w:lang w:val="it-IT"/>
        </w:rPr>
        <w:t xml:space="preserve">(Legge n. 134/2012) </w:t>
      </w:r>
      <w:r w:rsidR="00C23E4D">
        <w:rPr>
          <w:rFonts w:ascii="Comic Sans MS" w:hAnsi="Comic Sans MS"/>
          <w:sz w:val="22"/>
          <w:lang w:val="it-IT"/>
        </w:rPr>
        <w:t>che ha reso più snella la procedura</w:t>
      </w:r>
      <w:r w:rsidR="000E54DC">
        <w:rPr>
          <w:rFonts w:ascii="Comic Sans MS" w:hAnsi="Comic Sans MS"/>
          <w:sz w:val="22"/>
          <w:lang w:val="it-IT"/>
        </w:rPr>
        <w:t xml:space="preserve"> e</w:t>
      </w:r>
      <w:r w:rsidR="00C23E4D">
        <w:rPr>
          <w:rFonts w:ascii="Comic Sans MS" w:hAnsi="Comic Sans MS"/>
          <w:sz w:val="22"/>
          <w:lang w:val="it-IT"/>
        </w:rPr>
        <w:t xml:space="preserve"> ne ha ridotto i tempi di definizione</w:t>
      </w:r>
      <w:r w:rsidR="000E54DC">
        <w:rPr>
          <w:rFonts w:ascii="Comic Sans MS" w:hAnsi="Comic Sans MS"/>
          <w:sz w:val="22"/>
          <w:lang w:val="it-IT"/>
        </w:rPr>
        <w:t>; con la Legge n. 208/2015 (legge di stabilità 2016) sono stati</w:t>
      </w:r>
      <w:r>
        <w:rPr>
          <w:rFonts w:ascii="Comic Sans MS" w:hAnsi="Comic Sans MS"/>
          <w:sz w:val="22"/>
          <w:lang w:val="it-IT"/>
        </w:rPr>
        <w:t>,</w:t>
      </w:r>
      <w:r w:rsidR="000E54DC">
        <w:rPr>
          <w:rFonts w:ascii="Comic Sans MS" w:hAnsi="Comic Sans MS"/>
          <w:sz w:val="22"/>
          <w:lang w:val="it-IT"/>
        </w:rPr>
        <w:t xml:space="preserve"> infine</w:t>
      </w:r>
      <w:r>
        <w:rPr>
          <w:rFonts w:ascii="Comic Sans MS" w:hAnsi="Comic Sans MS"/>
          <w:sz w:val="22"/>
          <w:lang w:val="it-IT"/>
        </w:rPr>
        <w:t>,</w:t>
      </w:r>
      <w:r w:rsidR="000E54DC">
        <w:rPr>
          <w:rFonts w:ascii="Comic Sans MS" w:hAnsi="Comic Sans MS"/>
          <w:sz w:val="22"/>
          <w:lang w:val="it-IT"/>
        </w:rPr>
        <w:t xml:space="preserve"> introdotti</w:t>
      </w:r>
      <w:r w:rsidR="00C23E4D">
        <w:rPr>
          <w:rFonts w:ascii="Comic Sans MS" w:hAnsi="Comic Sans MS"/>
          <w:sz w:val="22"/>
          <w:lang w:val="it-IT"/>
        </w:rPr>
        <w:t xml:space="preserve"> </w:t>
      </w:r>
      <w:r w:rsidR="000E54DC">
        <w:rPr>
          <w:rFonts w:ascii="Comic Sans MS" w:hAnsi="Comic Sans MS"/>
          <w:sz w:val="22"/>
          <w:lang w:val="it-IT"/>
        </w:rPr>
        <w:t>strumenti di accelerazione del processo di natura preventiva, posti come condizione di accesso al rimedio riparatorio.</w:t>
      </w:r>
    </w:p>
    <w:p w:rsidR="00821165" w:rsidRDefault="000E54DC" w:rsidP="000563D9">
      <w:pPr>
        <w:pStyle w:val="JuPara"/>
        <w:tabs>
          <w:tab w:val="left" w:pos="952"/>
        </w:tabs>
        <w:ind w:firstLine="0"/>
        <w:rPr>
          <w:rFonts w:ascii="Comic Sans MS" w:hAnsi="Comic Sans MS"/>
          <w:sz w:val="22"/>
          <w:lang w:val="it-IT"/>
        </w:rPr>
      </w:pPr>
      <w:r>
        <w:rPr>
          <w:rFonts w:ascii="Comic Sans MS" w:hAnsi="Comic Sans MS"/>
          <w:sz w:val="22"/>
          <w:lang w:val="it-IT"/>
        </w:rPr>
        <w:t>Vi sono poi stati</w:t>
      </w:r>
      <w:r w:rsidR="002A5F19">
        <w:rPr>
          <w:rFonts w:ascii="Comic Sans MS" w:hAnsi="Comic Sans MS"/>
          <w:sz w:val="22"/>
          <w:lang w:val="it-IT"/>
        </w:rPr>
        <w:t>, successivamente al 2012, alcuni</w:t>
      </w:r>
      <w:r>
        <w:rPr>
          <w:rFonts w:ascii="Comic Sans MS" w:hAnsi="Comic Sans MS"/>
          <w:sz w:val="22"/>
          <w:lang w:val="it-IT"/>
        </w:rPr>
        <w:t xml:space="preserve"> interventi legislativi – soprattutto nel settore del giudizio civile – volti a garantire maggiore</w:t>
      </w:r>
      <w:r w:rsidR="00FE30AB">
        <w:rPr>
          <w:rFonts w:ascii="Comic Sans MS" w:hAnsi="Comic Sans MS"/>
          <w:sz w:val="22"/>
          <w:lang w:val="it-IT"/>
        </w:rPr>
        <w:t xml:space="preserve"> celerità ed efficienza al sistema giudiziario, i cui effetti </w:t>
      </w:r>
      <w:r w:rsidR="002A5F19">
        <w:rPr>
          <w:rFonts w:ascii="Comic Sans MS" w:hAnsi="Comic Sans MS"/>
          <w:sz w:val="22"/>
          <w:lang w:val="it-IT"/>
        </w:rPr>
        <w:t>hanno inciso</w:t>
      </w:r>
      <w:r w:rsidR="00821165">
        <w:rPr>
          <w:rFonts w:ascii="Comic Sans MS" w:hAnsi="Comic Sans MS"/>
          <w:sz w:val="22"/>
          <w:lang w:val="it-IT"/>
        </w:rPr>
        <w:t xml:space="preserve"> positivamente – senza risolvere comunque il problema -</w:t>
      </w:r>
      <w:r w:rsidR="00FE30AB">
        <w:rPr>
          <w:rFonts w:ascii="Comic Sans MS" w:hAnsi="Comic Sans MS"/>
          <w:sz w:val="22"/>
          <w:lang w:val="it-IT"/>
        </w:rPr>
        <w:t xml:space="preserve"> sulla durata media dei procedimenti dinanzi ai tribunali civili.</w:t>
      </w:r>
      <w:r w:rsidR="00F8683C">
        <w:rPr>
          <w:rFonts w:ascii="Comic Sans MS" w:hAnsi="Comic Sans MS"/>
          <w:sz w:val="22"/>
          <w:lang w:val="it-IT"/>
        </w:rPr>
        <w:t xml:space="preserve"> </w:t>
      </w:r>
    </w:p>
    <w:p w:rsidR="00F8683C" w:rsidRDefault="00F8683C" w:rsidP="000563D9">
      <w:pPr>
        <w:pStyle w:val="JuPara"/>
        <w:tabs>
          <w:tab w:val="left" w:pos="952"/>
        </w:tabs>
        <w:ind w:firstLine="0"/>
        <w:rPr>
          <w:rFonts w:ascii="Comic Sans MS" w:hAnsi="Comic Sans MS"/>
          <w:sz w:val="22"/>
          <w:lang w:val="it-IT"/>
        </w:rPr>
      </w:pPr>
      <w:r>
        <w:rPr>
          <w:rFonts w:ascii="Comic Sans MS" w:hAnsi="Comic Sans MS"/>
          <w:sz w:val="22"/>
          <w:lang w:val="it-IT"/>
        </w:rPr>
        <w:t>Nel settore penale, la depenalizzazione operata dai Decreti legislativi nn. 7 e 8/2016 ha avuto anch’essa un impatto positivo sui procedimenti penali pendenti.</w:t>
      </w:r>
    </w:p>
    <w:p w:rsidR="00FE30AB" w:rsidRDefault="00821165" w:rsidP="000563D9">
      <w:pPr>
        <w:pStyle w:val="JuPara"/>
        <w:tabs>
          <w:tab w:val="left" w:pos="952"/>
        </w:tabs>
        <w:ind w:firstLine="0"/>
        <w:rPr>
          <w:rFonts w:ascii="Comic Sans MS" w:hAnsi="Comic Sans MS"/>
          <w:sz w:val="22"/>
          <w:lang w:val="it-IT"/>
        </w:rPr>
      </w:pPr>
      <w:r>
        <w:rPr>
          <w:rFonts w:ascii="Comic Sans MS" w:hAnsi="Comic Sans MS"/>
          <w:sz w:val="22"/>
          <w:lang w:val="it-IT"/>
        </w:rPr>
        <w:t>Sul piano interno, l</w:t>
      </w:r>
      <w:r w:rsidR="00FE30AB">
        <w:rPr>
          <w:rFonts w:ascii="Comic Sans MS" w:hAnsi="Comic Sans MS"/>
          <w:sz w:val="22"/>
          <w:lang w:val="it-IT"/>
        </w:rPr>
        <w:t>’esecuzione del</w:t>
      </w:r>
      <w:r w:rsidR="00C23E4D">
        <w:rPr>
          <w:rFonts w:ascii="Comic Sans MS" w:hAnsi="Comic Sans MS"/>
          <w:sz w:val="22"/>
          <w:lang w:val="it-IT"/>
        </w:rPr>
        <w:t xml:space="preserve"> Piano di Azione ha</w:t>
      </w:r>
      <w:r w:rsidR="00FE30AB">
        <w:rPr>
          <w:rFonts w:ascii="Comic Sans MS" w:hAnsi="Comic Sans MS"/>
          <w:sz w:val="22"/>
          <w:lang w:val="it-IT"/>
        </w:rPr>
        <w:t xml:space="preserve"> </w:t>
      </w:r>
      <w:r w:rsidR="002A5F19">
        <w:rPr>
          <w:rFonts w:ascii="Comic Sans MS" w:hAnsi="Comic Sans MS"/>
          <w:sz w:val="22"/>
          <w:lang w:val="it-IT"/>
        </w:rPr>
        <w:t>in primo luogo</w:t>
      </w:r>
      <w:r w:rsidR="00C23E4D">
        <w:rPr>
          <w:rFonts w:ascii="Comic Sans MS" w:hAnsi="Comic Sans MS"/>
          <w:sz w:val="22"/>
          <w:lang w:val="it-IT"/>
        </w:rPr>
        <w:t xml:space="preserve"> avuto vantaggi indubitabili </w:t>
      </w:r>
      <w:r w:rsidR="0044373E">
        <w:rPr>
          <w:rFonts w:ascii="Comic Sans MS" w:hAnsi="Comic Sans MS"/>
          <w:sz w:val="22"/>
          <w:lang w:val="it-IT"/>
        </w:rPr>
        <w:t>economici</w:t>
      </w:r>
      <w:r w:rsidR="000E54DC">
        <w:rPr>
          <w:rFonts w:ascii="Comic Sans MS" w:hAnsi="Comic Sans MS"/>
          <w:sz w:val="22"/>
          <w:lang w:val="it-IT"/>
        </w:rPr>
        <w:t>, consentendo una significativa riduzione del debito “Pinto” (quasi cento milioni di euro per l’anno 2016)</w:t>
      </w:r>
      <w:r w:rsidR="00FE30AB">
        <w:rPr>
          <w:rFonts w:ascii="Comic Sans MS" w:hAnsi="Comic Sans MS"/>
          <w:sz w:val="22"/>
          <w:lang w:val="it-IT"/>
        </w:rPr>
        <w:t>.</w:t>
      </w:r>
    </w:p>
    <w:p w:rsidR="002A5F19" w:rsidRDefault="00FE30AB" w:rsidP="000563D9">
      <w:pPr>
        <w:pStyle w:val="JuPara"/>
        <w:tabs>
          <w:tab w:val="left" w:pos="952"/>
        </w:tabs>
        <w:ind w:firstLine="0"/>
        <w:rPr>
          <w:rFonts w:ascii="Comic Sans MS" w:hAnsi="Comic Sans MS"/>
          <w:sz w:val="22"/>
          <w:lang w:val="it-IT"/>
        </w:rPr>
      </w:pPr>
      <w:r>
        <w:rPr>
          <w:rFonts w:ascii="Comic Sans MS" w:hAnsi="Comic Sans MS"/>
          <w:sz w:val="22"/>
          <w:lang w:val="it-IT"/>
        </w:rPr>
        <w:t xml:space="preserve">Quanto alle pendenze dinanzi alla Corte EDU, </w:t>
      </w:r>
      <w:r w:rsidR="002A5F19">
        <w:rPr>
          <w:rFonts w:ascii="Comic Sans MS" w:hAnsi="Comic Sans MS"/>
          <w:sz w:val="22"/>
          <w:lang w:val="it-IT"/>
        </w:rPr>
        <w:t>il successo del Piano di Azione è di immediata percezione:</w:t>
      </w:r>
    </w:p>
    <w:p w:rsidR="002A5F19" w:rsidRDefault="002A5F19" w:rsidP="000563D9">
      <w:pPr>
        <w:pStyle w:val="JuPara"/>
        <w:tabs>
          <w:tab w:val="left" w:pos="952"/>
        </w:tabs>
        <w:ind w:firstLine="0"/>
        <w:rPr>
          <w:rFonts w:ascii="Comic Sans MS" w:hAnsi="Comic Sans MS"/>
          <w:sz w:val="22"/>
          <w:lang w:val="it-IT"/>
        </w:rPr>
      </w:pPr>
      <w:r>
        <w:rPr>
          <w:rFonts w:ascii="Comic Sans MS" w:hAnsi="Comic Sans MS"/>
          <w:sz w:val="22"/>
          <w:lang w:val="it-IT"/>
        </w:rPr>
        <w:t>al 31.12.2013</w:t>
      </w:r>
      <w:r w:rsidR="009756CA">
        <w:rPr>
          <w:rFonts w:ascii="Comic Sans MS" w:hAnsi="Comic Sans MS"/>
          <w:sz w:val="22"/>
          <w:lang w:val="it-IT"/>
        </w:rPr>
        <w:t>,</w:t>
      </w:r>
      <w:r>
        <w:rPr>
          <w:rFonts w:ascii="Comic Sans MS" w:hAnsi="Comic Sans MS"/>
          <w:sz w:val="22"/>
          <w:lang w:val="it-IT"/>
        </w:rPr>
        <w:t xml:space="preserve"> i casi pendenti nei confronti dell’Italia erano 14.400 (14,4 % dei ricorsi davanti alla CEDU) e il nostro paese era la secondo posto, dopo la Russia, per numero di ricorsi;</w:t>
      </w:r>
    </w:p>
    <w:p w:rsidR="009756CA" w:rsidRDefault="002A5F19" w:rsidP="000563D9">
      <w:pPr>
        <w:pStyle w:val="JuPara"/>
        <w:tabs>
          <w:tab w:val="left" w:pos="952"/>
        </w:tabs>
        <w:ind w:firstLine="0"/>
        <w:rPr>
          <w:rFonts w:ascii="Comic Sans MS" w:hAnsi="Comic Sans MS"/>
          <w:sz w:val="22"/>
          <w:lang w:val="it-IT"/>
        </w:rPr>
      </w:pPr>
      <w:r>
        <w:rPr>
          <w:rFonts w:ascii="Comic Sans MS" w:hAnsi="Comic Sans MS"/>
          <w:sz w:val="22"/>
          <w:lang w:val="it-IT"/>
        </w:rPr>
        <w:t>al 31.12.2015</w:t>
      </w:r>
      <w:r w:rsidR="009756CA">
        <w:rPr>
          <w:rFonts w:ascii="Comic Sans MS" w:hAnsi="Comic Sans MS"/>
          <w:sz w:val="22"/>
          <w:lang w:val="it-IT"/>
        </w:rPr>
        <w:t>,</w:t>
      </w:r>
      <w:r>
        <w:rPr>
          <w:rFonts w:ascii="Comic Sans MS" w:hAnsi="Comic Sans MS"/>
          <w:sz w:val="22"/>
          <w:lang w:val="it-IT"/>
        </w:rPr>
        <w:t xml:space="preserve"> la situazione era sensibilmente migliorata, i ricorsi contro l’Italia erano </w:t>
      </w:r>
      <w:r w:rsidR="009756CA">
        <w:rPr>
          <w:rFonts w:ascii="Comic Sans MS" w:hAnsi="Comic Sans MS"/>
          <w:sz w:val="22"/>
          <w:lang w:val="it-IT"/>
        </w:rPr>
        <w:t>7.550 (11,6 % del totale) e il nostro paese era sceso al quarto posto per numero di casi pendenti;</w:t>
      </w:r>
    </w:p>
    <w:p w:rsidR="009756CA" w:rsidRDefault="009756CA" w:rsidP="000563D9">
      <w:pPr>
        <w:pStyle w:val="JuPara"/>
        <w:tabs>
          <w:tab w:val="left" w:pos="952"/>
        </w:tabs>
        <w:ind w:firstLine="0"/>
        <w:rPr>
          <w:rFonts w:ascii="Comic Sans MS" w:hAnsi="Comic Sans MS"/>
          <w:sz w:val="22"/>
          <w:lang w:val="it-IT"/>
        </w:rPr>
      </w:pPr>
      <w:r>
        <w:rPr>
          <w:rFonts w:ascii="Comic Sans MS" w:hAnsi="Comic Sans MS"/>
          <w:sz w:val="22"/>
          <w:lang w:val="it-IT"/>
        </w:rPr>
        <w:t>al 31.12.2017, il numero di pendenze è sceso a 4.650 ricorsi (8,3 % del totale) e l’Italia è scesa al quinto posto della classifica degli Stati con più pendenze</w:t>
      </w:r>
      <w:r w:rsidR="00821165">
        <w:rPr>
          <w:rStyle w:val="Refdenotaalpie"/>
          <w:rFonts w:ascii="Comic Sans MS" w:hAnsi="Comic Sans MS"/>
          <w:sz w:val="22"/>
          <w:lang w:val="it-IT"/>
        </w:rPr>
        <w:footnoteReference w:id="7"/>
      </w:r>
      <w:r>
        <w:rPr>
          <w:rFonts w:ascii="Comic Sans MS" w:hAnsi="Comic Sans MS"/>
          <w:sz w:val="22"/>
          <w:lang w:val="it-IT"/>
        </w:rPr>
        <w:t>.</w:t>
      </w:r>
    </w:p>
    <w:p w:rsidR="009756CA" w:rsidRDefault="009756CA" w:rsidP="000563D9">
      <w:pPr>
        <w:pStyle w:val="JuPara"/>
        <w:tabs>
          <w:tab w:val="left" w:pos="952"/>
        </w:tabs>
        <w:ind w:firstLine="0"/>
        <w:rPr>
          <w:rFonts w:ascii="Comic Sans MS" w:hAnsi="Comic Sans MS"/>
          <w:sz w:val="22"/>
          <w:lang w:val="it-IT"/>
        </w:rPr>
      </w:pPr>
      <w:r>
        <w:rPr>
          <w:rFonts w:ascii="Comic Sans MS" w:hAnsi="Comic Sans MS"/>
          <w:sz w:val="22"/>
          <w:lang w:val="it-IT"/>
        </w:rPr>
        <w:t xml:space="preserve">Sono stati, dunque, definiti con </w:t>
      </w:r>
      <w:r w:rsidR="004F32F0">
        <w:rPr>
          <w:rFonts w:ascii="Comic Sans MS" w:hAnsi="Comic Sans MS"/>
          <w:sz w:val="22"/>
          <w:lang w:val="it-IT"/>
        </w:rPr>
        <w:t>Regolamenti</w:t>
      </w:r>
      <w:r>
        <w:rPr>
          <w:rFonts w:ascii="Comic Sans MS" w:hAnsi="Comic Sans MS"/>
          <w:sz w:val="22"/>
          <w:lang w:val="it-IT"/>
        </w:rPr>
        <w:t xml:space="preserve"> amichevol</w:t>
      </w:r>
      <w:r w:rsidR="004F32F0">
        <w:rPr>
          <w:rFonts w:ascii="Comic Sans MS" w:hAnsi="Comic Sans MS"/>
          <w:sz w:val="22"/>
          <w:lang w:val="it-IT"/>
        </w:rPr>
        <w:t>i</w:t>
      </w:r>
      <w:r>
        <w:rPr>
          <w:rFonts w:ascii="Comic Sans MS" w:hAnsi="Comic Sans MS"/>
          <w:sz w:val="22"/>
          <w:lang w:val="it-IT"/>
        </w:rPr>
        <w:t xml:space="preserve"> o </w:t>
      </w:r>
      <w:r w:rsidR="004F32F0">
        <w:rPr>
          <w:rFonts w:ascii="Comic Sans MS" w:hAnsi="Comic Sans MS"/>
          <w:sz w:val="22"/>
          <w:lang w:val="it-IT"/>
        </w:rPr>
        <w:t>D</w:t>
      </w:r>
      <w:r>
        <w:rPr>
          <w:rFonts w:ascii="Comic Sans MS" w:hAnsi="Comic Sans MS"/>
          <w:sz w:val="22"/>
          <w:lang w:val="it-IT"/>
        </w:rPr>
        <w:t>ichiarazion</w:t>
      </w:r>
      <w:r w:rsidR="004F32F0">
        <w:rPr>
          <w:rFonts w:ascii="Comic Sans MS" w:hAnsi="Comic Sans MS"/>
          <w:sz w:val="22"/>
          <w:lang w:val="it-IT"/>
        </w:rPr>
        <w:t>i</w:t>
      </w:r>
      <w:r>
        <w:rPr>
          <w:rFonts w:ascii="Comic Sans MS" w:hAnsi="Comic Sans MS"/>
          <w:sz w:val="22"/>
          <w:lang w:val="it-IT"/>
        </w:rPr>
        <w:t xml:space="preserve"> </w:t>
      </w:r>
      <w:r w:rsidR="004F32F0">
        <w:rPr>
          <w:rFonts w:ascii="Comic Sans MS" w:hAnsi="Comic Sans MS"/>
          <w:sz w:val="22"/>
          <w:lang w:val="it-IT"/>
        </w:rPr>
        <w:t>u</w:t>
      </w:r>
      <w:r>
        <w:rPr>
          <w:rFonts w:ascii="Comic Sans MS" w:hAnsi="Comic Sans MS"/>
          <w:sz w:val="22"/>
          <w:lang w:val="it-IT"/>
        </w:rPr>
        <w:t>nilateral</w:t>
      </w:r>
      <w:r w:rsidR="004F32F0">
        <w:rPr>
          <w:rFonts w:ascii="Comic Sans MS" w:hAnsi="Comic Sans MS"/>
          <w:sz w:val="22"/>
          <w:lang w:val="it-IT"/>
        </w:rPr>
        <w:t>i</w:t>
      </w:r>
      <w:r>
        <w:rPr>
          <w:rStyle w:val="Refdenotaalpie"/>
          <w:rFonts w:ascii="Comic Sans MS" w:hAnsi="Comic Sans MS"/>
          <w:sz w:val="22"/>
          <w:lang w:val="it-IT"/>
        </w:rPr>
        <w:footnoteReference w:id="8"/>
      </w:r>
      <w:r>
        <w:rPr>
          <w:rFonts w:ascii="Comic Sans MS" w:hAnsi="Comic Sans MS"/>
          <w:sz w:val="22"/>
          <w:lang w:val="it-IT"/>
        </w:rPr>
        <w:t xml:space="preserve">, </w:t>
      </w:r>
      <w:r w:rsidR="00AE6C45">
        <w:rPr>
          <w:rFonts w:ascii="Comic Sans MS" w:hAnsi="Comic Sans MS"/>
          <w:sz w:val="22"/>
          <w:lang w:val="it-IT"/>
        </w:rPr>
        <w:t>un consistente numero di</w:t>
      </w:r>
      <w:r>
        <w:rPr>
          <w:rFonts w:ascii="Comic Sans MS" w:hAnsi="Comic Sans MS"/>
          <w:sz w:val="22"/>
          <w:lang w:val="it-IT"/>
        </w:rPr>
        <w:t xml:space="preserve"> ricorsi seriali pendenti in materia di ritardato o mancato pagamento degli indennizzi Pinto</w:t>
      </w:r>
      <w:r w:rsidR="00AE6C45">
        <w:rPr>
          <w:rStyle w:val="Refdenotaalpie"/>
          <w:rFonts w:ascii="Comic Sans MS" w:hAnsi="Comic Sans MS"/>
          <w:sz w:val="22"/>
          <w:lang w:val="it-IT"/>
        </w:rPr>
        <w:footnoteReference w:id="9"/>
      </w:r>
      <w:r>
        <w:rPr>
          <w:rFonts w:ascii="Comic Sans MS" w:hAnsi="Comic Sans MS"/>
          <w:sz w:val="22"/>
          <w:lang w:val="it-IT"/>
        </w:rPr>
        <w:t>.</w:t>
      </w:r>
    </w:p>
    <w:p w:rsidR="0066289F" w:rsidRDefault="0044373E" w:rsidP="000563D9">
      <w:pPr>
        <w:pStyle w:val="JuPara"/>
        <w:tabs>
          <w:tab w:val="left" w:pos="952"/>
        </w:tabs>
        <w:ind w:firstLine="0"/>
        <w:rPr>
          <w:rFonts w:ascii="Comic Sans MS" w:hAnsi="Comic Sans MS"/>
          <w:sz w:val="22"/>
          <w:lang w:val="it-IT"/>
        </w:rPr>
      </w:pPr>
      <w:r>
        <w:rPr>
          <w:rFonts w:ascii="Comic Sans MS" w:hAnsi="Comic Sans MS"/>
          <w:sz w:val="22"/>
          <w:lang w:val="it-IT"/>
        </w:rPr>
        <w:t>Va, tuttavia, rilevato che il Comitato dei Ministri mantiene tuttora delle procedure aperte nei confronti dello Stato italiano sul tema dell’eccesiva durata dei g</w:t>
      </w:r>
      <w:r w:rsidR="008036C2">
        <w:rPr>
          <w:rFonts w:ascii="Comic Sans MS" w:hAnsi="Comic Sans MS"/>
          <w:sz w:val="22"/>
          <w:lang w:val="it-IT"/>
        </w:rPr>
        <w:t>iudizi civili e amministrativi, essendo interessato a valutare l’impatto delle riforme processuali e di quelle “Pinto” sul nostro sistema giudiziario</w:t>
      </w:r>
      <w:r w:rsidR="000D52C2">
        <w:rPr>
          <w:rStyle w:val="Refdenotaalpie"/>
          <w:rFonts w:ascii="Comic Sans MS" w:hAnsi="Comic Sans MS"/>
          <w:sz w:val="22"/>
          <w:lang w:val="it-IT"/>
        </w:rPr>
        <w:footnoteReference w:id="10"/>
      </w:r>
      <w:r w:rsidR="008036C2">
        <w:rPr>
          <w:rFonts w:ascii="Comic Sans MS" w:hAnsi="Comic Sans MS"/>
          <w:sz w:val="22"/>
          <w:lang w:val="it-IT"/>
        </w:rPr>
        <w:t>.</w:t>
      </w:r>
    </w:p>
    <w:p w:rsidR="00ED5270" w:rsidRDefault="00ED5270" w:rsidP="000F1BCB">
      <w:pPr>
        <w:widowControl w:val="0"/>
        <w:autoSpaceDE w:val="0"/>
        <w:autoSpaceDN w:val="0"/>
        <w:adjustRightInd w:val="0"/>
        <w:jc w:val="both"/>
        <w:rPr>
          <w:rFonts w:ascii="Comic Sans MS" w:hAnsi="Comic Sans MS"/>
          <w:b/>
          <w:sz w:val="22"/>
          <w:lang w:val="it-IT"/>
        </w:rPr>
      </w:pPr>
    </w:p>
    <w:p w:rsidR="000F1BCB" w:rsidRPr="000F1BCB" w:rsidRDefault="000F1BCB" w:rsidP="000F1BCB">
      <w:pPr>
        <w:widowControl w:val="0"/>
        <w:autoSpaceDE w:val="0"/>
        <w:autoSpaceDN w:val="0"/>
        <w:adjustRightInd w:val="0"/>
        <w:jc w:val="both"/>
        <w:rPr>
          <w:rFonts w:ascii="Comic Sans MS" w:hAnsi="Comic Sans MS"/>
          <w:b/>
          <w:sz w:val="22"/>
          <w:lang w:val="it-IT"/>
        </w:rPr>
      </w:pPr>
      <w:r w:rsidRPr="000F1BCB">
        <w:rPr>
          <w:rFonts w:ascii="Comic Sans MS" w:hAnsi="Comic Sans MS"/>
          <w:b/>
          <w:sz w:val="22"/>
          <w:lang w:val="it-IT"/>
        </w:rPr>
        <w:t xml:space="preserve">La definizione </w:t>
      </w:r>
      <w:r>
        <w:rPr>
          <w:rFonts w:ascii="Comic Sans MS" w:hAnsi="Comic Sans MS"/>
          <w:b/>
          <w:sz w:val="22"/>
          <w:lang w:val="it-IT"/>
        </w:rPr>
        <w:t xml:space="preserve">in via </w:t>
      </w:r>
      <w:r w:rsidRPr="000F1BCB">
        <w:rPr>
          <w:rFonts w:ascii="Comic Sans MS" w:hAnsi="Comic Sans MS"/>
          <w:b/>
          <w:sz w:val="22"/>
          <w:lang w:val="it-IT"/>
        </w:rPr>
        <w:t>amichevole dei ricorsi.</w:t>
      </w:r>
    </w:p>
    <w:p w:rsidR="0044373E" w:rsidRDefault="004F32F0" w:rsidP="00B706D2">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L’attività </w:t>
      </w:r>
      <w:r w:rsidR="00641422">
        <w:rPr>
          <w:rFonts w:ascii="Comic Sans MS" w:hAnsi="Comic Sans MS"/>
          <w:sz w:val="22"/>
          <w:lang w:val="it-IT"/>
        </w:rPr>
        <w:t xml:space="preserve">del Governo </w:t>
      </w:r>
      <w:r>
        <w:rPr>
          <w:rFonts w:ascii="Comic Sans MS" w:hAnsi="Comic Sans MS"/>
          <w:sz w:val="22"/>
          <w:lang w:val="it-IT"/>
        </w:rPr>
        <w:t xml:space="preserve">volta a ridurre </w:t>
      </w:r>
      <w:r w:rsidR="00641422">
        <w:rPr>
          <w:rFonts w:ascii="Comic Sans MS" w:hAnsi="Comic Sans MS"/>
          <w:sz w:val="22"/>
          <w:lang w:val="it-IT"/>
        </w:rPr>
        <w:t>le pendenze dinanzi alla Corte europea</w:t>
      </w:r>
      <w:r w:rsidR="0044373E">
        <w:rPr>
          <w:rFonts w:ascii="Comic Sans MS" w:hAnsi="Comic Sans MS"/>
          <w:sz w:val="22"/>
          <w:lang w:val="it-IT"/>
        </w:rPr>
        <w:t xml:space="preserve"> – come emerge dai numeri sopra esposti -</w:t>
      </w:r>
      <w:r>
        <w:rPr>
          <w:rFonts w:ascii="Comic Sans MS" w:hAnsi="Comic Sans MS"/>
          <w:sz w:val="22"/>
          <w:lang w:val="it-IT"/>
        </w:rPr>
        <w:t xml:space="preserve"> non si è </w:t>
      </w:r>
      <w:r w:rsidR="00641422">
        <w:rPr>
          <w:rFonts w:ascii="Comic Sans MS" w:hAnsi="Comic Sans MS"/>
          <w:sz w:val="22"/>
          <w:lang w:val="it-IT"/>
        </w:rPr>
        <w:t xml:space="preserve">certo </w:t>
      </w:r>
      <w:r>
        <w:rPr>
          <w:rFonts w:ascii="Comic Sans MS" w:hAnsi="Comic Sans MS"/>
          <w:sz w:val="22"/>
          <w:lang w:val="it-IT"/>
        </w:rPr>
        <w:t xml:space="preserve">esaurita </w:t>
      </w:r>
      <w:r w:rsidR="00641422">
        <w:rPr>
          <w:rFonts w:ascii="Comic Sans MS" w:hAnsi="Comic Sans MS"/>
          <w:sz w:val="22"/>
          <w:lang w:val="it-IT"/>
        </w:rPr>
        <w:t>con gli efficaci</w:t>
      </w:r>
      <w:r>
        <w:rPr>
          <w:rFonts w:ascii="Comic Sans MS" w:hAnsi="Comic Sans MS"/>
          <w:sz w:val="22"/>
          <w:lang w:val="it-IT"/>
        </w:rPr>
        <w:t xml:space="preserve"> </w:t>
      </w:r>
      <w:r w:rsidR="00641422">
        <w:rPr>
          <w:rFonts w:ascii="Comic Sans MS" w:hAnsi="Comic Sans MS"/>
          <w:sz w:val="22"/>
          <w:lang w:val="it-IT"/>
        </w:rPr>
        <w:t>Piani di Azione</w:t>
      </w:r>
      <w:r>
        <w:rPr>
          <w:rFonts w:ascii="Comic Sans MS" w:hAnsi="Comic Sans MS"/>
          <w:sz w:val="22"/>
          <w:lang w:val="it-IT"/>
        </w:rPr>
        <w:t xml:space="preserve"> “Pinto” e “Torreggiani”</w:t>
      </w:r>
      <w:r w:rsidR="00641422">
        <w:rPr>
          <w:rFonts w:ascii="Comic Sans MS" w:hAnsi="Comic Sans MS"/>
          <w:sz w:val="22"/>
          <w:lang w:val="it-IT"/>
        </w:rPr>
        <w:t>, ma ha</w:t>
      </w:r>
      <w:r w:rsidR="0044373E">
        <w:rPr>
          <w:rFonts w:ascii="Comic Sans MS" w:hAnsi="Comic Sans MS"/>
          <w:sz w:val="22"/>
          <w:lang w:val="it-IT"/>
        </w:rPr>
        <w:t xml:space="preserve"> affrontato anche altre questioni da tempo aperte con la Corte europea.</w:t>
      </w:r>
    </w:p>
    <w:p w:rsidR="00BE1F59" w:rsidRPr="00BE1F59" w:rsidRDefault="00BE1F59" w:rsidP="00CE600C">
      <w:pPr>
        <w:widowControl w:val="0"/>
        <w:autoSpaceDE w:val="0"/>
        <w:autoSpaceDN w:val="0"/>
        <w:adjustRightInd w:val="0"/>
        <w:jc w:val="both"/>
        <w:rPr>
          <w:rFonts w:ascii="Comic Sans MS" w:hAnsi="Comic Sans MS"/>
          <w:sz w:val="22"/>
          <w:lang w:val="it-IT"/>
        </w:rPr>
      </w:pPr>
      <w:r w:rsidRPr="00BE1F59">
        <w:rPr>
          <w:rFonts w:ascii="Comic Sans MS" w:hAnsi="Comic Sans MS"/>
          <w:sz w:val="22"/>
          <w:lang w:val="it-IT"/>
        </w:rPr>
        <w:t xml:space="preserve">E’ il caso dei ricorsi pendenti in materia di </w:t>
      </w:r>
      <w:r w:rsidRPr="00BE1F59">
        <w:rPr>
          <w:rFonts w:ascii="Comic Sans MS" w:hAnsi="Comic Sans MS"/>
          <w:sz w:val="22"/>
          <w:u w:val="single"/>
          <w:lang w:val="it-IT"/>
        </w:rPr>
        <w:t>espropriazione indiretta</w:t>
      </w:r>
      <w:r w:rsidRPr="00BE1F59">
        <w:rPr>
          <w:rFonts w:ascii="Comic Sans MS" w:hAnsi="Comic Sans MS"/>
          <w:sz w:val="22"/>
          <w:lang w:val="it-IT"/>
        </w:rPr>
        <w:t>.</w:t>
      </w:r>
    </w:p>
    <w:p w:rsidR="00BE1F59" w:rsidRPr="00BE1F59" w:rsidRDefault="00BE1F59" w:rsidP="00CE600C">
      <w:pPr>
        <w:jc w:val="both"/>
        <w:rPr>
          <w:rFonts w:ascii="Comic Sans MS" w:hAnsi="Comic Sans MS"/>
          <w:sz w:val="22"/>
          <w:szCs w:val="22"/>
          <w:lang w:val="it-IT"/>
        </w:rPr>
      </w:pPr>
      <w:r w:rsidRPr="00BE1F59">
        <w:rPr>
          <w:rFonts w:ascii="Comic Sans MS" w:hAnsi="Comic Sans MS"/>
          <w:sz w:val="22"/>
          <w:lang w:val="it-IT"/>
        </w:rPr>
        <w:t xml:space="preserve">Si è già detto come la CEDU </w:t>
      </w:r>
      <w:r>
        <w:rPr>
          <w:rFonts w:ascii="Comic Sans MS" w:hAnsi="Comic Sans MS"/>
          <w:sz w:val="22"/>
          <w:lang w:val="it-IT"/>
        </w:rPr>
        <w:t>abbia affermato</w:t>
      </w:r>
      <w:r w:rsidR="00932282">
        <w:rPr>
          <w:rFonts w:ascii="Comic Sans MS" w:hAnsi="Comic Sans MS"/>
          <w:sz w:val="22"/>
          <w:lang w:val="it-IT"/>
        </w:rPr>
        <w:t xml:space="preserve"> con la sentenza della Grande Camera </w:t>
      </w:r>
      <w:r w:rsidR="00932282" w:rsidRPr="00932282">
        <w:rPr>
          <w:rFonts w:ascii="Comic Sans MS" w:hAnsi="Comic Sans MS"/>
          <w:i/>
          <w:sz w:val="22"/>
          <w:lang w:val="it-IT"/>
        </w:rPr>
        <w:t>Scordino c/ Italia</w:t>
      </w:r>
      <w:r w:rsidR="00932282">
        <w:rPr>
          <w:rFonts w:ascii="Comic Sans MS" w:hAnsi="Comic Sans MS"/>
          <w:sz w:val="22"/>
          <w:lang w:val="it-IT"/>
        </w:rPr>
        <w:t xml:space="preserve"> </w:t>
      </w:r>
      <w:r>
        <w:rPr>
          <w:rFonts w:ascii="Comic Sans MS" w:hAnsi="Comic Sans MS"/>
          <w:sz w:val="22"/>
          <w:lang w:val="it-IT"/>
        </w:rPr>
        <w:t xml:space="preserve"> – pur senza ricorrere alla procedura della sentenza pilota - l</w:t>
      </w:r>
      <w:r w:rsidRPr="00BE1F59">
        <w:rPr>
          <w:rFonts w:ascii="Comic Sans MS" w:hAnsi="Comic Sans MS"/>
          <w:sz w:val="22"/>
          <w:szCs w:val="22"/>
          <w:lang w:val="it-IT"/>
        </w:rPr>
        <w:t>’esistenza di una violazione strutturale da parte dell’Italia in tema di legislazione sull’indennizzo espropriativo, non adeguato dal legislatore nazionale e ritenuto astratto e completamente sganciato dalla caratteristiche essenziali del bene ablato.</w:t>
      </w:r>
    </w:p>
    <w:p w:rsidR="00BE1F59" w:rsidRPr="00BE1F59" w:rsidRDefault="00BE1F59" w:rsidP="00BE1F59">
      <w:pPr>
        <w:autoSpaceDE w:val="0"/>
        <w:autoSpaceDN w:val="0"/>
        <w:adjustRightInd w:val="0"/>
        <w:jc w:val="both"/>
        <w:rPr>
          <w:rFonts w:ascii="Comic Sans MS" w:hAnsi="Comic Sans MS" w:cs="TimesNewRomanPSMT"/>
          <w:sz w:val="22"/>
          <w:szCs w:val="22"/>
          <w:lang w:val="it-IT"/>
        </w:rPr>
      </w:pPr>
      <w:r w:rsidRPr="00BE1F59">
        <w:rPr>
          <w:rFonts w:ascii="Comic Sans MS" w:hAnsi="Comic Sans MS"/>
          <w:color w:val="000000"/>
          <w:sz w:val="22"/>
          <w:szCs w:val="22"/>
          <w:lang w:val="it-IT"/>
        </w:rPr>
        <w:t xml:space="preserve">Dal </w:t>
      </w:r>
      <w:r>
        <w:rPr>
          <w:rFonts w:ascii="Comic Sans MS" w:hAnsi="Comic Sans MS"/>
          <w:color w:val="000000"/>
          <w:sz w:val="22"/>
          <w:szCs w:val="22"/>
          <w:lang w:val="it-IT"/>
        </w:rPr>
        <w:t>punto di vista del diritto interno la questione è stata definitivamente risolta dalla</w:t>
      </w:r>
      <w:r w:rsidRPr="00BE1F59">
        <w:rPr>
          <w:rFonts w:ascii="Comic Sans MS" w:hAnsi="Comic Sans MS"/>
          <w:color w:val="000000"/>
          <w:sz w:val="22"/>
          <w:szCs w:val="22"/>
          <w:lang w:val="it-IT"/>
        </w:rPr>
        <w:t xml:space="preserve"> sentenza della Corte di Cassazione a Sezioni Unite n. 735/2015, che ha rimosso dal nostro ordinamento l’istituto dell’occupazione acquisitiva,</w:t>
      </w:r>
      <w:r w:rsidRPr="00BE1F59">
        <w:rPr>
          <w:rFonts w:ascii="Comic Sans MS" w:hAnsi="Comic Sans MS" w:cs="TimesNewRomanPSMT"/>
          <w:sz w:val="22"/>
          <w:szCs w:val="22"/>
          <w:lang w:val="it-IT"/>
        </w:rPr>
        <w:t xml:space="preserve"> ritenendolo</w:t>
      </w:r>
      <w:r w:rsidR="00932282">
        <w:rPr>
          <w:rFonts w:ascii="Comic Sans MS" w:hAnsi="Comic Sans MS" w:cs="TimesNewRomanPSMT"/>
          <w:sz w:val="22"/>
          <w:szCs w:val="22"/>
          <w:lang w:val="it-IT"/>
        </w:rPr>
        <w:t xml:space="preserve"> in contrasto con l'art. 1 del P</w:t>
      </w:r>
      <w:r w:rsidRPr="00BE1F59">
        <w:rPr>
          <w:rFonts w:ascii="Comic Sans MS" w:hAnsi="Comic Sans MS" w:cs="TimesNewRomanPSMT"/>
          <w:sz w:val="22"/>
          <w:szCs w:val="22"/>
          <w:lang w:val="it-IT"/>
        </w:rPr>
        <w:t xml:space="preserve">rotocollo addizionale alla Convenzione EDU. </w:t>
      </w:r>
      <w:r>
        <w:rPr>
          <w:rFonts w:ascii="Comic Sans MS" w:hAnsi="Comic Sans MS" w:cs="TimesNewRomanPSMT"/>
          <w:sz w:val="22"/>
          <w:szCs w:val="22"/>
          <w:lang w:val="it-IT"/>
        </w:rPr>
        <w:t xml:space="preserve">Si è chiusa, pertanto, </w:t>
      </w:r>
      <w:r w:rsidRPr="00BE1F59">
        <w:rPr>
          <w:rFonts w:ascii="Comic Sans MS" w:hAnsi="Comic Sans MS" w:cs="TimesNewRomanPSMT"/>
          <w:sz w:val="22"/>
          <w:szCs w:val="22"/>
          <w:lang w:val="it-IT"/>
        </w:rPr>
        <w:t>con l’allineamento della giurisprudenza interna alle coordinate espresse dalla giurisprudenza della Corte dei diritti dell’uomo un</w:t>
      </w:r>
      <w:r w:rsidR="00932282">
        <w:rPr>
          <w:rFonts w:ascii="Comic Sans MS" w:hAnsi="Comic Sans MS" w:cs="TimesNewRomanPSMT"/>
          <w:sz w:val="22"/>
          <w:szCs w:val="22"/>
          <w:lang w:val="it-IT"/>
        </w:rPr>
        <w:t>a</w:t>
      </w:r>
      <w:r w:rsidRPr="00BE1F59">
        <w:rPr>
          <w:rFonts w:ascii="Comic Sans MS" w:hAnsi="Comic Sans MS" w:cs="TimesNewRomanPSMT"/>
          <w:sz w:val="22"/>
          <w:szCs w:val="22"/>
          <w:lang w:val="it-IT"/>
        </w:rPr>
        <w:t xml:space="preserve"> lunga vicenda, che aveva inizialmente registrato una chiusura del giudice nazionale rispetto ai messaggi provenienti dalla Corte europea, ma che ha visto progressivamente ap</w:t>
      </w:r>
      <w:r w:rsidR="00932282">
        <w:rPr>
          <w:rFonts w:ascii="Comic Sans MS" w:hAnsi="Comic Sans MS" w:cs="TimesNewRomanPSMT"/>
          <w:sz w:val="22"/>
          <w:szCs w:val="22"/>
          <w:lang w:val="it-IT"/>
        </w:rPr>
        <w:t>rire il nostro sistema</w:t>
      </w:r>
      <w:r w:rsidRPr="00BE1F59">
        <w:rPr>
          <w:rFonts w:ascii="Comic Sans MS" w:hAnsi="Comic Sans MS" w:cs="TimesNewRomanPSMT"/>
          <w:sz w:val="22"/>
          <w:szCs w:val="22"/>
          <w:lang w:val="it-IT"/>
        </w:rPr>
        <w:t>, tramite l’interpretazione convenzionalmente orientata, alla protezione di grado elevato proveniente da Strasburgo.</w:t>
      </w:r>
    </w:p>
    <w:p w:rsidR="009704F5" w:rsidRDefault="00BE1F59" w:rsidP="00BE1F59">
      <w:pPr>
        <w:ind w:right="197"/>
        <w:jc w:val="both"/>
        <w:rPr>
          <w:rFonts w:ascii="Comic Sans MS" w:hAnsi="Comic Sans MS"/>
          <w:sz w:val="22"/>
          <w:szCs w:val="22"/>
          <w:lang w:val="it-IT"/>
        </w:rPr>
      </w:pPr>
      <w:r>
        <w:rPr>
          <w:rFonts w:ascii="Comic Sans MS" w:hAnsi="Comic Sans MS"/>
          <w:sz w:val="22"/>
          <w:szCs w:val="22"/>
          <w:lang w:val="it-IT"/>
        </w:rPr>
        <w:t>S</w:t>
      </w:r>
      <w:r w:rsidRPr="00BE1F59">
        <w:rPr>
          <w:rFonts w:ascii="Comic Sans MS" w:hAnsi="Comic Sans MS"/>
          <w:sz w:val="22"/>
          <w:szCs w:val="22"/>
          <w:lang w:val="it-IT"/>
        </w:rPr>
        <w:t xml:space="preserve">u iniziativa della </w:t>
      </w:r>
      <w:r>
        <w:rPr>
          <w:rFonts w:ascii="Comic Sans MS" w:hAnsi="Comic Sans MS"/>
          <w:sz w:val="22"/>
          <w:szCs w:val="22"/>
          <w:lang w:val="it-IT"/>
        </w:rPr>
        <w:t xml:space="preserve">stessa </w:t>
      </w:r>
      <w:r w:rsidRPr="00BE1F59">
        <w:rPr>
          <w:rFonts w:ascii="Comic Sans MS" w:hAnsi="Comic Sans MS"/>
          <w:sz w:val="22"/>
          <w:szCs w:val="22"/>
          <w:lang w:val="it-IT"/>
        </w:rPr>
        <w:t xml:space="preserve">Corte europea, </w:t>
      </w:r>
      <w:r>
        <w:rPr>
          <w:rFonts w:ascii="Comic Sans MS" w:hAnsi="Comic Sans MS"/>
          <w:sz w:val="22"/>
          <w:szCs w:val="22"/>
          <w:lang w:val="it-IT"/>
        </w:rPr>
        <w:t xml:space="preserve">è stato varato </w:t>
      </w:r>
      <w:r w:rsidRPr="00BE1F59">
        <w:rPr>
          <w:rFonts w:ascii="Comic Sans MS" w:hAnsi="Comic Sans MS"/>
          <w:sz w:val="22"/>
          <w:szCs w:val="22"/>
          <w:lang w:val="it-IT"/>
        </w:rPr>
        <w:t xml:space="preserve">un </w:t>
      </w:r>
      <w:r>
        <w:rPr>
          <w:rFonts w:ascii="Comic Sans MS" w:hAnsi="Comic Sans MS"/>
          <w:sz w:val="22"/>
          <w:szCs w:val="22"/>
          <w:lang w:val="it-IT"/>
        </w:rPr>
        <w:t>P</w:t>
      </w:r>
      <w:r w:rsidRPr="00BE1F59">
        <w:rPr>
          <w:rFonts w:ascii="Comic Sans MS" w:hAnsi="Comic Sans MS"/>
          <w:sz w:val="22"/>
          <w:szCs w:val="22"/>
          <w:lang w:val="it-IT"/>
        </w:rPr>
        <w:t xml:space="preserve">iano per la </w:t>
      </w:r>
      <w:r>
        <w:rPr>
          <w:rFonts w:ascii="Comic Sans MS" w:hAnsi="Comic Sans MS"/>
          <w:sz w:val="22"/>
          <w:szCs w:val="22"/>
          <w:lang w:val="it-IT"/>
        </w:rPr>
        <w:t>definizione</w:t>
      </w:r>
      <w:r w:rsidRPr="00BE1F59">
        <w:rPr>
          <w:rFonts w:ascii="Comic Sans MS" w:hAnsi="Comic Sans MS"/>
          <w:sz w:val="22"/>
          <w:szCs w:val="22"/>
          <w:lang w:val="it-IT"/>
        </w:rPr>
        <w:t xml:space="preserve"> in via amichevole dei ricorsi in materia espropriativa. </w:t>
      </w:r>
    </w:p>
    <w:p w:rsidR="009704F5" w:rsidRDefault="009704F5" w:rsidP="00BE1F59">
      <w:pPr>
        <w:ind w:right="197"/>
        <w:jc w:val="both"/>
        <w:rPr>
          <w:rFonts w:ascii="Comic Sans MS" w:hAnsi="Comic Sans MS"/>
          <w:sz w:val="22"/>
          <w:szCs w:val="22"/>
          <w:lang w:val="it-IT"/>
        </w:rPr>
      </w:pPr>
      <w:r>
        <w:rPr>
          <w:rFonts w:ascii="Comic Sans MS" w:hAnsi="Comic Sans MS"/>
          <w:sz w:val="22"/>
          <w:szCs w:val="22"/>
          <w:lang w:val="it-IT"/>
        </w:rPr>
        <w:t>Contrariamente ai Piani Torreggiani e Pinto, la predisposizione delle proposte di definizione dei ricorsi non è agevole, essendo necessaria un’accurata istruttoria e una corretta valutazione dell’offerta, basata sui criteri indicati dalla Cort</w:t>
      </w:r>
      <w:r w:rsidR="00932282">
        <w:rPr>
          <w:rFonts w:ascii="Comic Sans MS" w:hAnsi="Comic Sans MS"/>
          <w:sz w:val="22"/>
          <w:szCs w:val="22"/>
          <w:lang w:val="it-IT"/>
        </w:rPr>
        <w:t>e europea nella sentenza della G</w:t>
      </w:r>
      <w:r>
        <w:rPr>
          <w:rFonts w:ascii="Comic Sans MS" w:hAnsi="Comic Sans MS"/>
          <w:sz w:val="22"/>
          <w:szCs w:val="22"/>
          <w:lang w:val="it-IT"/>
        </w:rPr>
        <w:t>rande Camera (</w:t>
      </w:r>
      <w:r w:rsidR="00932282">
        <w:rPr>
          <w:rFonts w:ascii="Comic Sans MS" w:hAnsi="Comic Sans MS"/>
          <w:sz w:val="22"/>
          <w:szCs w:val="22"/>
          <w:lang w:val="it-IT"/>
        </w:rPr>
        <w:t xml:space="preserve">emessa </w:t>
      </w:r>
      <w:r>
        <w:rPr>
          <w:rFonts w:ascii="Comic Sans MS" w:hAnsi="Comic Sans MS"/>
          <w:sz w:val="22"/>
          <w:szCs w:val="22"/>
          <w:lang w:val="it-IT"/>
        </w:rPr>
        <w:t xml:space="preserve">su richiesta del Governo italiano) </w:t>
      </w:r>
      <w:r w:rsidRPr="009704F5">
        <w:rPr>
          <w:rFonts w:ascii="Comic Sans MS" w:hAnsi="Comic Sans MS"/>
          <w:i/>
          <w:sz w:val="22"/>
          <w:szCs w:val="22"/>
          <w:lang w:val="it-IT"/>
        </w:rPr>
        <w:t>Guiso Gallisay e altri c/ Italia</w:t>
      </w:r>
      <w:r>
        <w:rPr>
          <w:rFonts w:ascii="Comic Sans MS" w:hAnsi="Comic Sans MS"/>
          <w:sz w:val="22"/>
          <w:szCs w:val="22"/>
          <w:lang w:val="it-IT"/>
        </w:rPr>
        <w:t xml:space="preserve"> del 22.12.2009</w:t>
      </w:r>
      <w:r>
        <w:rPr>
          <w:rStyle w:val="Refdenotaalpie"/>
          <w:rFonts w:ascii="Comic Sans MS" w:hAnsi="Comic Sans MS"/>
          <w:sz w:val="22"/>
          <w:szCs w:val="22"/>
          <w:lang w:val="it-IT"/>
        </w:rPr>
        <w:footnoteReference w:id="11"/>
      </w:r>
      <w:r>
        <w:rPr>
          <w:rFonts w:ascii="Comic Sans MS" w:hAnsi="Comic Sans MS"/>
          <w:sz w:val="22"/>
          <w:szCs w:val="22"/>
          <w:lang w:val="it-IT"/>
        </w:rPr>
        <w:t>. Si tratta, inoltre, di offerte di composizione amichevole per lo più di rilevante impatto economico</w:t>
      </w:r>
      <w:r w:rsidR="00437D32">
        <w:rPr>
          <w:rStyle w:val="Refdenotaalpie"/>
          <w:rFonts w:ascii="Comic Sans MS" w:hAnsi="Comic Sans MS"/>
          <w:sz w:val="22"/>
          <w:szCs w:val="22"/>
          <w:lang w:val="it-IT"/>
        </w:rPr>
        <w:footnoteReference w:id="12"/>
      </w:r>
      <w:r w:rsidR="00437D32">
        <w:rPr>
          <w:rFonts w:ascii="Comic Sans MS" w:hAnsi="Comic Sans MS"/>
          <w:sz w:val="22"/>
          <w:szCs w:val="22"/>
          <w:lang w:val="it-IT"/>
        </w:rPr>
        <w:t>,</w:t>
      </w:r>
      <w:r>
        <w:rPr>
          <w:rFonts w:ascii="Comic Sans MS" w:hAnsi="Comic Sans MS"/>
          <w:sz w:val="22"/>
          <w:szCs w:val="22"/>
          <w:lang w:val="it-IT"/>
        </w:rPr>
        <w:t xml:space="preserve"> la cui proposizione deve tener conto dei vincoli </w:t>
      </w:r>
      <w:r w:rsidR="00932282">
        <w:rPr>
          <w:rFonts w:ascii="Comic Sans MS" w:hAnsi="Comic Sans MS"/>
          <w:sz w:val="22"/>
          <w:szCs w:val="22"/>
          <w:lang w:val="it-IT"/>
        </w:rPr>
        <w:t xml:space="preserve">di contabilità </w:t>
      </w:r>
      <w:r>
        <w:rPr>
          <w:rFonts w:ascii="Comic Sans MS" w:hAnsi="Comic Sans MS"/>
          <w:sz w:val="22"/>
          <w:szCs w:val="22"/>
          <w:lang w:val="it-IT"/>
        </w:rPr>
        <w:t>posti dalla normativa interna e dei tempi contingentati per la pianificazione delle spese.</w:t>
      </w:r>
    </w:p>
    <w:p w:rsidR="002D1C43" w:rsidRDefault="002D1C43" w:rsidP="00B706D2">
      <w:pPr>
        <w:widowControl w:val="0"/>
        <w:autoSpaceDE w:val="0"/>
        <w:autoSpaceDN w:val="0"/>
        <w:adjustRightInd w:val="0"/>
        <w:jc w:val="both"/>
        <w:rPr>
          <w:rFonts w:ascii="Comic Sans MS" w:hAnsi="Comic Sans MS"/>
          <w:sz w:val="22"/>
          <w:lang w:val="it-IT"/>
        </w:rPr>
      </w:pPr>
    </w:p>
    <w:p w:rsidR="005D3907" w:rsidRPr="00B45396" w:rsidRDefault="00437D32" w:rsidP="00B45396">
      <w:pPr>
        <w:widowControl w:val="0"/>
        <w:autoSpaceDE w:val="0"/>
        <w:autoSpaceDN w:val="0"/>
        <w:adjustRightInd w:val="0"/>
        <w:jc w:val="both"/>
        <w:rPr>
          <w:rFonts w:ascii="Comic Sans MS" w:hAnsi="Comic Sans MS"/>
          <w:sz w:val="22"/>
          <w:lang w:val="it-IT"/>
        </w:rPr>
      </w:pPr>
      <w:r>
        <w:rPr>
          <w:rFonts w:ascii="Comic Sans MS" w:hAnsi="Comic Sans MS"/>
          <w:sz w:val="22"/>
          <w:lang w:val="it-IT"/>
        </w:rPr>
        <w:t>Più problematica</w:t>
      </w:r>
      <w:r w:rsidR="00894329">
        <w:rPr>
          <w:rFonts w:ascii="Comic Sans MS" w:hAnsi="Comic Sans MS"/>
          <w:sz w:val="22"/>
          <w:lang w:val="it-IT"/>
        </w:rPr>
        <w:t xml:space="preserve"> appare, invece, la soluzione del contenzioso seriale instauratosi </w:t>
      </w:r>
      <w:r w:rsidR="00942C0C">
        <w:rPr>
          <w:rFonts w:ascii="Comic Sans MS" w:hAnsi="Comic Sans MS"/>
          <w:sz w:val="22"/>
          <w:lang w:val="it-IT"/>
        </w:rPr>
        <w:t>in materia di applicazione retroattiva di leggi di interpretazione autentica (</w:t>
      </w:r>
      <w:r w:rsidR="00942C0C" w:rsidRPr="00AF0BDA">
        <w:rPr>
          <w:rFonts w:ascii="Comic Sans MS" w:hAnsi="Comic Sans MS"/>
          <w:b/>
          <w:i/>
          <w:sz w:val="22"/>
          <w:lang w:val="it-IT"/>
        </w:rPr>
        <w:t>Agrati e</w:t>
      </w:r>
      <w:r w:rsidR="00942C0C" w:rsidRPr="00942C0C">
        <w:rPr>
          <w:rFonts w:ascii="Comic Sans MS" w:hAnsi="Comic Sans MS"/>
          <w:i/>
          <w:sz w:val="22"/>
          <w:lang w:val="it-IT"/>
        </w:rPr>
        <w:t xml:space="preserve"> </w:t>
      </w:r>
      <w:r w:rsidR="00942C0C" w:rsidRPr="00AF0BDA">
        <w:rPr>
          <w:rFonts w:ascii="Comic Sans MS" w:hAnsi="Comic Sans MS"/>
          <w:b/>
          <w:i/>
          <w:sz w:val="22"/>
          <w:lang w:val="it-IT"/>
        </w:rPr>
        <w:t>altri c/ Italia</w:t>
      </w:r>
      <w:r w:rsidR="00942C0C">
        <w:rPr>
          <w:rFonts w:ascii="Comic Sans MS" w:hAnsi="Comic Sans MS"/>
          <w:sz w:val="22"/>
          <w:lang w:val="it-IT"/>
        </w:rPr>
        <w:t xml:space="preserve"> del </w:t>
      </w:r>
      <w:r w:rsidR="00BD24B8">
        <w:rPr>
          <w:rFonts w:ascii="Comic Sans MS" w:hAnsi="Comic Sans MS"/>
          <w:sz w:val="22"/>
          <w:lang w:val="it-IT"/>
        </w:rPr>
        <w:t>7</w:t>
      </w:r>
      <w:r w:rsidR="00942C0C">
        <w:rPr>
          <w:rFonts w:ascii="Comic Sans MS" w:hAnsi="Comic Sans MS"/>
          <w:sz w:val="22"/>
          <w:lang w:val="it-IT"/>
        </w:rPr>
        <w:t>.</w:t>
      </w:r>
      <w:r w:rsidR="00BD24B8">
        <w:rPr>
          <w:rFonts w:ascii="Comic Sans MS" w:hAnsi="Comic Sans MS"/>
          <w:sz w:val="22"/>
          <w:lang w:val="it-IT"/>
        </w:rPr>
        <w:t>5</w:t>
      </w:r>
      <w:r w:rsidR="00942C0C">
        <w:rPr>
          <w:rFonts w:ascii="Comic Sans MS" w:hAnsi="Comic Sans MS"/>
          <w:sz w:val="22"/>
          <w:lang w:val="it-IT"/>
        </w:rPr>
        <w:t>.2011</w:t>
      </w:r>
      <w:r w:rsidR="006F631E">
        <w:rPr>
          <w:rFonts w:ascii="Comic Sans MS" w:hAnsi="Comic Sans MS"/>
          <w:sz w:val="22"/>
          <w:lang w:val="it-IT"/>
        </w:rPr>
        <w:t xml:space="preserve">, in una </w:t>
      </w:r>
      <w:r w:rsidR="005D3907" w:rsidRPr="00B45396">
        <w:rPr>
          <w:rFonts w:ascii="Comic Sans MS" w:hAnsi="Comic Sans MS"/>
          <w:sz w:val="22"/>
          <w:lang w:val="it-IT"/>
        </w:rPr>
        <w:t>fattispecie relativa al</w:t>
      </w:r>
      <w:r w:rsidR="006F631E">
        <w:rPr>
          <w:rFonts w:ascii="Comic Sans MS" w:hAnsi="Comic Sans MS"/>
          <w:sz w:val="22"/>
          <w:lang w:val="it-IT"/>
        </w:rPr>
        <w:t xml:space="preserve"> </w:t>
      </w:r>
      <w:r w:rsidR="005D3907" w:rsidRPr="00B45396">
        <w:rPr>
          <w:rFonts w:ascii="Comic Sans MS" w:hAnsi="Comic Sans MS"/>
          <w:sz w:val="22"/>
          <w:lang w:val="it-IT"/>
        </w:rPr>
        <w:t>personale ausiliario, tecnico, amministrativo della scuola</w:t>
      </w:r>
      <w:r w:rsidR="002D1C43">
        <w:rPr>
          <w:rFonts w:ascii="Comic Sans MS" w:hAnsi="Comic Sans MS"/>
          <w:sz w:val="22"/>
          <w:lang w:val="it-IT"/>
        </w:rPr>
        <w:t>, cd. personale ATA</w:t>
      </w:r>
      <w:r w:rsidR="00546DC5">
        <w:rPr>
          <w:rStyle w:val="Refdenotaalpie"/>
          <w:rFonts w:ascii="Comic Sans MS" w:hAnsi="Comic Sans MS"/>
          <w:sz w:val="22"/>
          <w:lang w:val="it-IT"/>
        </w:rPr>
        <w:footnoteReference w:id="13"/>
      </w:r>
      <w:r w:rsidR="00FB2AB1">
        <w:rPr>
          <w:rFonts w:ascii="Comic Sans MS" w:hAnsi="Comic Sans MS"/>
          <w:sz w:val="22"/>
          <w:lang w:val="it-IT"/>
        </w:rPr>
        <w:t xml:space="preserve"> e </w:t>
      </w:r>
      <w:r w:rsidR="00FB2AB1" w:rsidRPr="00AF0BDA">
        <w:rPr>
          <w:rFonts w:ascii="Comic Sans MS" w:hAnsi="Comic Sans MS"/>
          <w:b/>
          <w:i/>
          <w:sz w:val="22"/>
          <w:lang w:val="it-IT"/>
        </w:rPr>
        <w:t>Maggio e altri c/ Italia</w:t>
      </w:r>
      <w:r w:rsidR="00FB2AB1">
        <w:rPr>
          <w:rFonts w:ascii="Comic Sans MS" w:hAnsi="Comic Sans MS"/>
          <w:sz w:val="22"/>
          <w:lang w:val="it-IT"/>
        </w:rPr>
        <w:t xml:space="preserve"> del 31.5.2011 su</w:t>
      </w:r>
      <w:r w:rsidR="00863907">
        <w:rPr>
          <w:rFonts w:ascii="Comic Sans MS" w:hAnsi="Comic Sans MS"/>
          <w:sz w:val="22"/>
          <w:lang w:val="it-IT"/>
        </w:rPr>
        <w:t>lla vicenda delle “pensioni svizzere”</w:t>
      </w:r>
      <w:r w:rsidR="00863907">
        <w:rPr>
          <w:rStyle w:val="Refdenotaalpie"/>
          <w:rFonts w:ascii="Comic Sans MS" w:hAnsi="Comic Sans MS"/>
          <w:sz w:val="22"/>
          <w:lang w:val="it-IT"/>
        </w:rPr>
        <w:footnoteReference w:id="14"/>
      </w:r>
      <w:r w:rsidR="005D3907" w:rsidRPr="00B45396">
        <w:rPr>
          <w:rFonts w:ascii="Comic Sans MS" w:hAnsi="Comic Sans MS"/>
          <w:sz w:val="22"/>
          <w:lang w:val="it-IT"/>
        </w:rPr>
        <w:t>).</w:t>
      </w:r>
    </w:p>
    <w:p w:rsidR="00546DC5" w:rsidRPr="00B45396" w:rsidRDefault="006F631E" w:rsidP="00546DC5">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La Corte europea ha stabilito nel caso di specie che, </w:t>
      </w:r>
      <w:r w:rsidR="005D3907" w:rsidRPr="00B45396">
        <w:rPr>
          <w:rFonts w:ascii="Comic Sans MS" w:hAnsi="Comic Sans MS"/>
          <w:sz w:val="22"/>
          <w:lang w:val="it-IT"/>
        </w:rPr>
        <w:t>se in linea di principio il potere legislativo</w:t>
      </w:r>
      <w:r>
        <w:rPr>
          <w:rFonts w:ascii="Comic Sans MS" w:hAnsi="Comic Sans MS"/>
          <w:sz w:val="22"/>
          <w:lang w:val="it-IT"/>
        </w:rPr>
        <w:t xml:space="preserve"> </w:t>
      </w:r>
      <w:r w:rsidR="005D3907" w:rsidRPr="00B45396">
        <w:rPr>
          <w:rFonts w:ascii="Comic Sans MS" w:hAnsi="Comic Sans MS"/>
          <w:sz w:val="22"/>
          <w:lang w:val="it-IT"/>
        </w:rPr>
        <w:t>non impedisce in materia civile di regolamentare i diritti derivanti da leggi in vigore con nuove</w:t>
      </w:r>
      <w:r w:rsidR="00A44851">
        <w:rPr>
          <w:rFonts w:ascii="Comic Sans MS" w:hAnsi="Comic Sans MS"/>
          <w:sz w:val="22"/>
          <w:lang w:val="it-IT"/>
        </w:rPr>
        <w:t xml:space="preserve"> </w:t>
      </w:r>
      <w:r w:rsidR="005D3907" w:rsidRPr="00B45396">
        <w:rPr>
          <w:rFonts w:ascii="Comic Sans MS" w:hAnsi="Comic Sans MS"/>
          <w:sz w:val="22"/>
          <w:lang w:val="it-IT"/>
        </w:rPr>
        <w:t>disposizioni che agisc</w:t>
      </w:r>
      <w:r w:rsidR="00C172AF">
        <w:rPr>
          <w:rFonts w:ascii="Comic Sans MS" w:hAnsi="Comic Sans MS"/>
          <w:sz w:val="22"/>
          <w:lang w:val="it-IT"/>
        </w:rPr>
        <w:t>a</w:t>
      </w:r>
      <w:r w:rsidR="005D3907" w:rsidRPr="00B45396">
        <w:rPr>
          <w:rFonts w:ascii="Comic Sans MS" w:hAnsi="Comic Sans MS"/>
          <w:sz w:val="22"/>
          <w:lang w:val="it-IT"/>
        </w:rPr>
        <w:t>no retroattivamente, la regola della preminenza del diritto e la nozione di</w:t>
      </w:r>
      <w:r w:rsidR="00A44851">
        <w:rPr>
          <w:rFonts w:ascii="Comic Sans MS" w:hAnsi="Comic Sans MS"/>
          <w:sz w:val="22"/>
          <w:lang w:val="it-IT"/>
        </w:rPr>
        <w:t xml:space="preserve"> </w:t>
      </w:r>
      <w:r w:rsidR="005D3907" w:rsidRPr="00B45396">
        <w:rPr>
          <w:rFonts w:ascii="Comic Sans MS" w:hAnsi="Comic Sans MS"/>
          <w:sz w:val="22"/>
          <w:lang w:val="it-IT"/>
        </w:rPr>
        <w:t xml:space="preserve">processo equo sanciti dall’articolo 6 </w:t>
      </w:r>
      <w:r w:rsidR="00A44851">
        <w:rPr>
          <w:rFonts w:ascii="Comic Sans MS" w:hAnsi="Comic Sans MS"/>
          <w:sz w:val="22"/>
          <w:lang w:val="it-IT"/>
        </w:rPr>
        <w:t>della Convenzione</w:t>
      </w:r>
      <w:r w:rsidR="005D3907" w:rsidRPr="00B45396">
        <w:rPr>
          <w:rFonts w:ascii="Comic Sans MS" w:hAnsi="Comic Sans MS"/>
          <w:sz w:val="22"/>
          <w:lang w:val="it-IT"/>
        </w:rPr>
        <w:t xml:space="preserve"> contrastano</w:t>
      </w:r>
      <w:r w:rsidR="008C692F">
        <w:rPr>
          <w:rFonts w:ascii="Comic Sans MS" w:hAnsi="Comic Sans MS"/>
          <w:sz w:val="22"/>
          <w:lang w:val="it-IT"/>
        </w:rPr>
        <w:t xml:space="preserve"> -</w:t>
      </w:r>
      <w:r w:rsidR="005D3907" w:rsidRPr="00B45396">
        <w:rPr>
          <w:rFonts w:ascii="Comic Sans MS" w:hAnsi="Comic Sans MS"/>
          <w:sz w:val="22"/>
          <w:lang w:val="it-IT"/>
        </w:rPr>
        <w:t xml:space="preserve"> fatti salvi imperiosi motivi di interesse</w:t>
      </w:r>
      <w:r w:rsidR="00A44851">
        <w:rPr>
          <w:rFonts w:ascii="Comic Sans MS" w:hAnsi="Comic Sans MS"/>
          <w:sz w:val="22"/>
          <w:lang w:val="it-IT"/>
        </w:rPr>
        <w:t xml:space="preserve"> </w:t>
      </w:r>
      <w:r w:rsidR="008C692F">
        <w:rPr>
          <w:rFonts w:ascii="Comic Sans MS" w:hAnsi="Comic Sans MS"/>
          <w:sz w:val="22"/>
          <w:lang w:val="it-IT"/>
        </w:rPr>
        <w:t>generale -</w:t>
      </w:r>
      <w:r w:rsidR="005D3907" w:rsidRPr="00B45396">
        <w:rPr>
          <w:rFonts w:ascii="Comic Sans MS" w:hAnsi="Comic Sans MS"/>
          <w:sz w:val="22"/>
          <w:lang w:val="it-IT"/>
        </w:rPr>
        <w:t xml:space="preserve"> con l’ingerenza del potere legislativo nell’amministrazione della giustizia</w:t>
      </w:r>
      <w:r w:rsidR="00C172AF">
        <w:rPr>
          <w:rFonts w:ascii="Comic Sans MS" w:hAnsi="Comic Sans MS"/>
          <w:sz w:val="22"/>
          <w:lang w:val="it-IT"/>
        </w:rPr>
        <w:t>,</w:t>
      </w:r>
      <w:r w:rsidR="005D3907" w:rsidRPr="00B45396">
        <w:rPr>
          <w:rFonts w:ascii="Comic Sans MS" w:hAnsi="Comic Sans MS"/>
          <w:sz w:val="22"/>
          <w:lang w:val="it-IT"/>
        </w:rPr>
        <w:t xml:space="preserve"> allo scopo di</w:t>
      </w:r>
      <w:r w:rsidR="00A44851">
        <w:rPr>
          <w:rFonts w:ascii="Comic Sans MS" w:hAnsi="Comic Sans MS"/>
          <w:sz w:val="22"/>
          <w:lang w:val="it-IT"/>
        </w:rPr>
        <w:t xml:space="preserve"> </w:t>
      </w:r>
      <w:r w:rsidR="005D3907" w:rsidRPr="00B45396">
        <w:rPr>
          <w:rFonts w:ascii="Comic Sans MS" w:hAnsi="Comic Sans MS"/>
          <w:sz w:val="22"/>
          <w:lang w:val="it-IT"/>
        </w:rPr>
        <w:t xml:space="preserve">influire sulla conclusione giudiziaria di una controversia. </w:t>
      </w:r>
    </w:p>
    <w:p w:rsidR="008C692F" w:rsidRPr="004E1AF3" w:rsidRDefault="007C3219" w:rsidP="004E1AF3">
      <w:pPr>
        <w:widowControl w:val="0"/>
        <w:autoSpaceDE w:val="0"/>
        <w:autoSpaceDN w:val="0"/>
        <w:adjustRightInd w:val="0"/>
        <w:jc w:val="both"/>
        <w:rPr>
          <w:rFonts w:ascii="Comic Sans MS" w:hAnsi="Comic Sans MS"/>
          <w:sz w:val="22"/>
          <w:lang w:val="it-IT"/>
        </w:rPr>
      </w:pPr>
      <w:r w:rsidRPr="004E1AF3">
        <w:rPr>
          <w:rFonts w:ascii="Comic Sans MS" w:hAnsi="Comic Sans MS"/>
          <w:sz w:val="22"/>
          <w:lang w:val="it-IT"/>
        </w:rPr>
        <w:t xml:space="preserve">Sulla vicenda </w:t>
      </w:r>
      <w:r w:rsidR="0015231A" w:rsidRPr="00060E26">
        <w:rPr>
          <w:rFonts w:ascii="Comic Sans MS" w:hAnsi="Comic Sans MS"/>
          <w:i/>
          <w:sz w:val="22"/>
          <w:lang w:val="it-IT"/>
        </w:rPr>
        <w:t>Maggio</w:t>
      </w:r>
      <w:r w:rsidR="0015231A" w:rsidRPr="004E1AF3">
        <w:rPr>
          <w:rFonts w:ascii="Comic Sans MS" w:hAnsi="Comic Sans MS"/>
          <w:sz w:val="22"/>
          <w:lang w:val="it-IT"/>
        </w:rPr>
        <w:t xml:space="preserve"> </w:t>
      </w:r>
      <w:r w:rsidRPr="004E1AF3">
        <w:rPr>
          <w:rFonts w:ascii="Comic Sans MS" w:hAnsi="Comic Sans MS"/>
          <w:sz w:val="22"/>
          <w:lang w:val="it-IT"/>
        </w:rPr>
        <w:t>è in seguito intervenuta la Corte Costituzionale che, con la sentenza</w:t>
      </w:r>
      <w:r w:rsidR="0015231A" w:rsidRPr="004E1AF3">
        <w:rPr>
          <w:rFonts w:ascii="Comic Sans MS" w:hAnsi="Comic Sans MS"/>
          <w:sz w:val="22"/>
          <w:lang w:val="it-IT"/>
        </w:rPr>
        <w:t xml:space="preserve"> n. 264/2012 ha respinto la questione di legittimità costituzionale avente ad oggetto la norma d’interpretazione autentica (art. 1, comma 777</w:t>
      </w:r>
      <w:r w:rsidRPr="004E1AF3">
        <w:rPr>
          <w:rFonts w:ascii="Comic Sans MS" w:hAnsi="Comic Sans MS"/>
          <w:sz w:val="22"/>
          <w:lang w:val="it-IT"/>
        </w:rPr>
        <w:t xml:space="preserve"> </w:t>
      </w:r>
      <w:r w:rsidR="0015231A" w:rsidRPr="004E1AF3">
        <w:rPr>
          <w:rFonts w:ascii="Comic Sans MS" w:hAnsi="Comic Sans MS"/>
          <w:sz w:val="22"/>
          <w:lang w:val="it-IT"/>
        </w:rPr>
        <w:t>della legge finanziaria 2007 n. 296/2006). La decisione è di estremo interesse</w:t>
      </w:r>
      <w:r w:rsidR="00C172AF">
        <w:rPr>
          <w:rFonts w:ascii="Comic Sans MS" w:hAnsi="Comic Sans MS"/>
          <w:sz w:val="22"/>
          <w:lang w:val="it-IT"/>
        </w:rPr>
        <w:t>,</w:t>
      </w:r>
      <w:r w:rsidR="0015231A" w:rsidRPr="004E1AF3">
        <w:rPr>
          <w:rFonts w:ascii="Comic Sans MS" w:hAnsi="Comic Sans MS"/>
          <w:sz w:val="22"/>
          <w:lang w:val="it-IT"/>
        </w:rPr>
        <w:t xml:space="preserve"> poiché </w:t>
      </w:r>
      <w:r w:rsidR="008C692F" w:rsidRPr="004E1AF3">
        <w:rPr>
          <w:rFonts w:ascii="Comic Sans MS" w:hAnsi="Comic Sans MS"/>
          <w:sz w:val="22"/>
          <w:lang w:val="it-IT"/>
        </w:rPr>
        <w:t xml:space="preserve">il giudice delle leggi </w:t>
      </w:r>
      <w:r w:rsidR="004E1AF3">
        <w:rPr>
          <w:rFonts w:ascii="Comic Sans MS" w:hAnsi="Comic Sans MS"/>
          <w:sz w:val="22"/>
          <w:lang w:val="it-IT"/>
        </w:rPr>
        <w:t>afferma</w:t>
      </w:r>
      <w:r w:rsidR="008C692F" w:rsidRPr="004E1AF3">
        <w:rPr>
          <w:rFonts w:ascii="Comic Sans MS" w:hAnsi="Comic Sans MS"/>
          <w:sz w:val="22"/>
          <w:lang w:val="it-IT"/>
        </w:rPr>
        <w:t xml:space="preserve"> che il confronto fra tutela costituzionale e tutela convenzionale dei diritti fondamentali deve avvenire "</w:t>
      </w:r>
      <w:r w:rsidR="008C692F" w:rsidRPr="004E1AF3">
        <w:rPr>
          <w:rFonts w:ascii="Comic Sans MS" w:hAnsi="Comic Sans MS"/>
          <w:i/>
          <w:sz w:val="22"/>
          <w:lang w:val="it-IT"/>
        </w:rPr>
        <w:t>mirando alla massima espansione delle garanzie</w:t>
      </w:r>
      <w:r w:rsidR="008C692F" w:rsidRPr="004E1AF3">
        <w:rPr>
          <w:rFonts w:ascii="Comic Sans MS" w:hAnsi="Comic Sans MS"/>
          <w:sz w:val="22"/>
          <w:lang w:val="it-IT"/>
        </w:rPr>
        <w:t>", tenendo cioè conto, fra l'altro, del "</w:t>
      </w:r>
      <w:r w:rsidR="008C692F" w:rsidRPr="004E1AF3">
        <w:rPr>
          <w:rFonts w:ascii="Comic Sans MS" w:hAnsi="Comic Sans MS"/>
          <w:i/>
          <w:sz w:val="22"/>
          <w:lang w:val="it-IT"/>
        </w:rPr>
        <w:t>necessario bilanciamento con altri interessi costituzionalmente protetti, cioè con altre norme costituzionali, che a loro volta garantiscano diritti fondamentali che potrebbero essere incisi dall'espansione di una singola tutela</w:t>
      </w:r>
      <w:r w:rsidR="008C692F" w:rsidRPr="004E1AF3">
        <w:rPr>
          <w:rFonts w:ascii="Comic Sans MS" w:hAnsi="Comic Sans MS"/>
          <w:sz w:val="22"/>
          <w:lang w:val="it-IT"/>
        </w:rPr>
        <w:t>".</w:t>
      </w:r>
    </w:p>
    <w:p w:rsidR="008C692F" w:rsidRPr="004E1AF3" w:rsidRDefault="008C692F" w:rsidP="008C692F">
      <w:pPr>
        <w:pStyle w:val="NormalWeb"/>
        <w:spacing w:beforeLines="0" w:afterLines="0"/>
        <w:jc w:val="both"/>
        <w:rPr>
          <w:rFonts w:ascii="Comic Sans MS" w:hAnsi="Comic Sans MS" w:cstheme="minorBidi"/>
          <w:sz w:val="22"/>
          <w:szCs w:val="24"/>
          <w:lang w:val="it-IT" w:eastAsia="en-US"/>
        </w:rPr>
      </w:pPr>
      <w:r w:rsidRPr="004E1AF3">
        <w:rPr>
          <w:rFonts w:ascii="Comic Sans MS" w:hAnsi="Comic Sans MS" w:cstheme="minorBidi"/>
          <w:sz w:val="22"/>
          <w:szCs w:val="24"/>
          <w:lang w:val="it-IT" w:eastAsia="en-US"/>
        </w:rPr>
        <w:t xml:space="preserve">Nel caso di specie, perciò, sull'interesse sotteso al parametro integrato dalla pronuncia </w:t>
      </w:r>
      <w:r w:rsidRPr="004E1AF3">
        <w:rPr>
          <w:rFonts w:ascii="Comic Sans MS" w:hAnsi="Comic Sans MS" w:cstheme="minorBidi"/>
          <w:i/>
          <w:sz w:val="22"/>
          <w:szCs w:val="24"/>
          <w:lang w:val="it-IT" w:eastAsia="en-US"/>
        </w:rPr>
        <w:t>Maggio</w:t>
      </w:r>
      <w:r w:rsidRPr="004E1AF3">
        <w:rPr>
          <w:rFonts w:ascii="Comic Sans MS" w:hAnsi="Comic Sans MS" w:cstheme="minorBidi"/>
          <w:sz w:val="22"/>
          <w:szCs w:val="24"/>
          <w:lang w:val="it-IT" w:eastAsia="en-US"/>
        </w:rPr>
        <w:t xml:space="preserve"> </w:t>
      </w:r>
      <w:r w:rsidR="00B53B45">
        <w:rPr>
          <w:rFonts w:ascii="Comic Sans MS" w:hAnsi="Comic Sans MS" w:cstheme="minorBidi"/>
          <w:sz w:val="22"/>
          <w:szCs w:val="24"/>
          <w:lang w:val="it-IT" w:eastAsia="en-US"/>
        </w:rPr>
        <w:t xml:space="preserve">la Corte italiana </w:t>
      </w:r>
      <w:r w:rsidR="00060E26">
        <w:rPr>
          <w:rFonts w:ascii="Comic Sans MS" w:hAnsi="Comic Sans MS" w:cstheme="minorBidi"/>
          <w:sz w:val="22"/>
          <w:szCs w:val="24"/>
          <w:lang w:val="it-IT" w:eastAsia="en-US"/>
        </w:rPr>
        <w:t xml:space="preserve">ha </w:t>
      </w:r>
      <w:r w:rsidR="004E1AF3">
        <w:rPr>
          <w:rFonts w:ascii="Comic Sans MS" w:hAnsi="Comic Sans MS" w:cstheme="minorBidi"/>
          <w:sz w:val="22"/>
          <w:szCs w:val="24"/>
          <w:lang w:val="it-IT" w:eastAsia="en-US"/>
        </w:rPr>
        <w:t>riten</w:t>
      </w:r>
      <w:r w:rsidR="00060E26">
        <w:rPr>
          <w:rFonts w:ascii="Comic Sans MS" w:hAnsi="Comic Sans MS" w:cstheme="minorBidi"/>
          <w:sz w:val="22"/>
          <w:szCs w:val="24"/>
          <w:lang w:val="it-IT" w:eastAsia="en-US"/>
        </w:rPr>
        <w:t xml:space="preserve">uto </w:t>
      </w:r>
      <w:r w:rsidRPr="004E1AF3">
        <w:rPr>
          <w:rFonts w:ascii="Comic Sans MS" w:hAnsi="Comic Sans MS" w:cstheme="minorBidi"/>
          <w:sz w:val="22"/>
          <w:szCs w:val="24"/>
          <w:lang w:val="it-IT" w:eastAsia="en-US"/>
        </w:rPr>
        <w:t>prevale</w:t>
      </w:r>
      <w:r w:rsidR="004E1AF3">
        <w:rPr>
          <w:rFonts w:ascii="Comic Sans MS" w:hAnsi="Comic Sans MS" w:cstheme="minorBidi"/>
          <w:sz w:val="22"/>
          <w:szCs w:val="24"/>
          <w:lang w:val="it-IT" w:eastAsia="en-US"/>
        </w:rPr>
        <w:t>nte</w:t>
      </w:r>
      <w:r w:rsidRPr="004E1AF3">
        <w:rPr>
          <w:rFonts w:ascii="Comic Sans MS" w:hAnsi="Comic Sans MS" w:cstheme="minorBidi"/>
          <w:sz w:val="22"/>
          <w:szCs w:val="24"/>
          <w:lang w:val="it-IT" w:eastAsia="en-US"/>
        </w:rPr>
        <w:t xml:space="preserve"> la tutela degli interessi antagonisti, </w:t>
      </w:r>
      <w:r w:rsidR="004E1AF3">
        <w:rPr>
          <w:rFonts w:ascii="Comic Sans MS" w:hAnsi="Comic Sans MS" w:cstheme="minorBidi"/>
          <w:sz w:val="22"/>
          <w:szCs w:val="24"/>
          <w:lang w:val="it-IT" w:eastAsia="en-US"/>
        </w:rPr>
        <w:t>di pari rango costituzionale</w:t>
      </w:r>
      <w:r w:rsidRPr="004E1AF3">
        <w:rPr>
          <w:rFonts w:ascii="Comic Sans MS" w:hAnsi="Comic Sans MS" w:cstheme="minorBidi"/>
          <w:sz w:val="22"/>
          <w:szCs w:val="24"/>
          <w:lang w:val="it-IT" w:eastAsia="en-US"/>
        </w:rPr>
        <w:t>, presi complessivamente in considerazione dalla disciplina legislativa impugnata</w:t>
      </w:r>
      <w:r w:rsidR="00185C59">
        <w:rPr>
          <w:rStyle w:val="Refdenotaalpie"/>
          <w:rFonts w:ascii="Comic Sans MS" w:hAnsi="Comic Sans MS" w:cstheme="minorBidi"/>
          <w:sz w:val="22"/>
          <w:szCs w:val="24"/>
          <w:lang w:val="it-IT" w:eastAsia="en-US"/>
        </w:rPr>
        <w:footnoteReference w:id="15"/>
      </w:r>
      <w:r w:rsidRPr="004E1AF3">
        <w:rPr>
          <w:rFonts w:ascii="Comic Sans MS" w:hAnsi="Comic Sans MS" w:cstheme="minorBidi"/>
          <w:sz w:val="22"/>
          <w:szCs w:val="24"/>
          <w:lang w:val="it-IT" w:eastAsia="en-US"/>
        </w:rPr>
        <w:t xml:space="preserve">. </w:t>
      </w:r>
    </w:p>
    <w:p w:rsidR="00060E26" w:rsidRDefault="00C4046F" w:rsidP="00B45396">
      <w:pPr>
        <w:widowControl w:val="0"/>
        <w:autoSpaceDE w:val="0"/>
        <w:autoSpaceDN w:val="0"/>
        <w:adjustRightInd w:val="0"/>
        <w:jc w:val="both"/>
        <w:rPr>
          <w:rFonts w:ascii="Comic Sans MS" w:hAnsi="Comic Sans MS"/>
          <w:sz w:val="22"/>
          <w:lang w:val="it-IT"/>
        </w:rPr>
      </w:pPr>
      <w:r>
        <w:rPr>
          <w:rFonts w:ascii="Comic Sans MS" w:hAnsi="Comic Sans MS"/>
          <w:sz w:val="22"/>
          <w:lang w:val="it-IT"/>
        </w:rPr>
        <w:t>Va, tuttavia, rilevato che il Governo italiano si è adoperato per l’esecuzione del giudicato della Corte europea, predisponendo per i soli ricorrenti delle proposte transattive che</w:t>
      </w:r>
      <w:r w:rsidR="00060E26">
        <w:rPr>
          <w:rFonts w:ascii="Comic Sans MS" w:hAnsi="Comic Sans MS"/>
          <w:sz w:val="22"/>
          <w:lang w:val="it-IT"/>
        </w:rPr>
        <w:t xml:space="preserve"> tengono conto del pregiudizio teorico subito, pur non operando </w:t>
      </w:r>
      <w:r w:rsidR="00C172AF">
        <w:rPr>
          <w:rFonts w:ascii="Comic Sans MS" w:hAnsi="Comic Sans MS"/>
          <w:sz w:val="22"/>
          <w:lang w:val="it-IT"/>
        </w:rPr>
        <w:t xml:space="preserve">direttamente </w:t>
      </w:r>
      <w:r w:rsidR="00060E26">
        <w:rPr>
          <w:rFonts w:ascii="Comic Sans MS" w:hAnsi="Comic Sans MS"/>
          <w:sz w:val="22"/>
          <w:lang w:val="it-IT"/>
        </w:rPr>
        <w:t>sugli importi pensionistici dei ricorrenti.</w:t>
      </w:r>
    </w:p>
    <w:p w:rsidR="008C692F" w:rsidRDefault="00060E26" w:rsidP="00B45396">
      <w:pPr>
        <w:widowControl w:val="0"/>
        <w:autoSpaceDE w:val="0"/>
        <w:autoSpaceDN w:val="0"/>
        <w:adjustRightInd w:val="0"/>
        <w:jc w:val="both"/>
        <w:rPr>
          <w:rFonts w:ascii="Comic Sans MS" w:hAnsi="Comic Sans MS"/>
          <w:sz w:val="22"/>
          <w:lang w:val="it-IT"/>
        </w:rPr>
      </w:pPr>
      <w:r>
        <w:rPr>
          <w:rFonts w:ascii="Comic Sans MS" w:hAnsi="Comic Sans MS"/>
          <w:sz w:val="22"/>
          <w:lang w:val="it-IT"/>
        </w:rPr>
        <w:t>Tali proposte</w:t>
      </w:r>
      <w:r w:rsidR="00C4046F">
        <w:rPr>
          <w:rFonts w:ascii="Comic Sans MS" w:hAnsi="Comic Sans MS"/>
          <w:sz w:val="22"/>
          <w:lang w:val="it-IT"/>
        </w:rPr>
        <w:t xml:space="preserve"> hanno trovato il consenso della Corte EDU</w:t>
      </w:r>
      <w:r>
        <w:rPr>
          <w:rFonts w:ascii="Comic Sans MS" w:hAnsi="Comic Sans MS"/>
          <w:sz w:val="22"/>
          <w:lang w:val="it-IT"/>
        </w:rPr>
        <w:t>,</w:t>
      </w:r>
      <w:r w:rsidR="00C4046F">
        <w:rPr>
          <w:rFonts w:ascii="Comic Sans MS" w:hAnsi="Comic Sans MS"/>
          <w:sz w:val="22"/>
          <w:lang w:val="it-IT"/>
        </w:rPr>
        <w:t xml:space="preserve"> anche nelle ipotesi in cui sono state respinte dagli interessati (si veda</w:t>
      </w:r>
      <w:r w:rsidR="00D37310">
        <w:rPr>
          <w:rFonts w:ascii="Comic Sans MS" w:hAnsi="Comic Sans MS"/>
          <w:sz w:val="22"/>
          <w:lang w:val="it-IT"/>
        </w:rPr>
        <w:t>no</w:t>
      </w:r>
      <w:r w:rsidR="00C4046F">
        <w:rPr>
          <w:rFonts w:ascii="Comic Sans MS" w:hAnsi="Comic Sans MS"/>
          <w:sz w:val="22"/>
          <w:lang w:val="it-IT"/>
        </w:rPr>
        <w:t>, da ultimo,</w:t>
      </w:r>
      <w:r w:rsidR="00D37310">
        <w:rPr>
          <w:rFonts w:ascii="Comic Sans MS" w:hAnsi="Comic Sans MS"/>
          <w:sz w:val="22"/>
          <w:lang w:val="it-IT"/>
        </w:rPr>
        <w:t xml:space="preserve"> le decisioni di radiazione dal ruolo a seguito di dichiarazione unilaterale del Governo nei casi </w:t>
      </w:r>
      <w:r w:rsidR="00D37310" w:rsidRPr="00D37310">
        <w:rPr>
          <w:rFonts w:ascii="Comic Sans MS" w:hAnsi="Comic Sans MS"/>
          <w:i/>
          <w:sz w:val="22"/>
          <w:lang w:val="it-IT"/>
        </w:rPr>
        <w:t>Rizzello e altri</w:t>
      </w:r>
      <w:r w:rsidR="00D37310">
        <w:rPr>
          <w:rFonts w:ascii="Comic Sans MS" w:hAnsi="Comic Sans MS"/>
          <w:sz w:val="22"/>
          <w:lang w:val="it-IT"/>
        </w:rPr>
        <w:t xml:space="preserve"> </w:t>
      </w:r>
      <w:r w:rsidR="00D37310" w:rsidRPr="00D37310">
        <w:rPr>
          <w:rFonts w:ascii="Comic Sans MS" w:hAnsi="Comic Sans MS"/>
          <w:i/>
          <w:sz w:val="22"/>
          <w:lang w:val="it-IT"/>
        </w:rPr>
        <w:t>c/ Italia</w:t>
      </w:r>
      <w:r w:rsidR="00D37310">
        <w:rPr>
          <w:rFonts w:ascii="Comic Sans MS" w:hAnsi="Comic Sans MS"/>
          <w:sz w:val="22"/>
          <w:lang w:val="it-IT"/>
        </w:rPr>
        <w:t xml:space="preserve"> e </w:t>
      </w:r>
      <w:r w:rsidR="00D37310" w:rsidRPr="00D37310">
        <w:rPr>
          <w:rFonts w:ascii="Comic Sans MS" w:hAnsi="Comic Sans MS"/>
          <w:i/>
          <w:sz w:val="22"/>
          <w:lang w:val="it-IT"/>
        </w:rPr>
        <w:t>Bosco e altri</w:t>
      </w:r>
      <w:r w:rsidR="00D37310">
        <w:rPr>
          <w:rFonts w:ascii="Comic Sans MS" w:hAnsi="Comic Sans MS"/>
          <w:sz w:val="22"/>
          <w:lang w:val="it-IT"/>
        </w:rPr>
        <w:t xml:space="preserve"> </w:t>
      </w:r>
      <w:r w:rsidR="00D37310" w:rsidRPr="00D37310">
        <w:rPr>
          <w:rFonts w:ascii="Comic Sans MS" w:hAnsi="Comic Sans MS"/>
          <w:i/>
          <w:sz w:val="22"/>
          <w:lang w:val="it-IT"/>
        </w:rPr>
        <w:t>c/ Italia</w:t>
      </w:r>
      <w:r w:rsidR="00D37310">
        <w:rPr>
          <w:rFonts w:ascii="Comic Sans MS" w:hAnsi="Comic Sans MS"/>
          <w:sz w:val="22"/>
          <w:lang w:val="it-IT"/>
        </w:rPr>
        <w:t xml:space="preserve"> del 20.2.2018).</w:t>
      </w:r>
      <w:r w:rsidR="00C4046F">
        <w:rPr>
          <w:rFonts w:ascii="Comic Sans MS" w:hAnsi="Comic Sans MS"/>
          <w:sz w:val="22"/>
          <w:lang w:val="it-IT"/>
        </w:rPr>
        <w:t xml:space="preserve">  </w:t>
      </w:r>
    </w:p>
    <w:p w:rsidR="00D37310" w:rsidRDefault="00D37310"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Il Comitato dei Ministri non ha, tuttavia, ancora disposto la chiusura dei procedimenti esecutivi, essendo necessario</w:t>
      </w:r>
      <w:r w:rsidR="00C172AF">
        <w:rPr>
          <w:rFonts w:ascii="Comic Sans MS" w:hAnsi="Comic Sans MS"/>
          <w:sz w:val="22"/>
          <w:lang w:val="it-IT"/>
        </w:rPr>
        <w:t>,</w:t>
      </w:r>
      <w:r>
        <w:rPr>
          <w:rFonts w:ascii="Comic Sans MS" w:hAnsi="Comic Sans MS"/>
          <w:sz w:val="22"/>
          <w:lang w:val="it-IT"/>
        </w:rPr>
        <w:t xml:space="preserve"> a suo avviso</w:t>
      </w:r>
      <w:r w:rsidR="00C172AF">
        <w:rPr>
          <w:rFonts w:ascii="Comic Sans MS" w:hAnsi="Comic Sans MS"/>
          <w:sz w:val="22"/>
          <w:lang w:val="it-IT"/>
        </w:rPr>
        <w:t>,</w:t>
      </w:r>
      <w:r>
        <w:rPr>
          <w:rFonts w:ascii="Comic Sans MS" w:hAnsi="Comic Sans MS"/>
          <w:sz w:val="22"/>
          <w:lang w:val="it-IT"/>
        </w:rPr>
        <w:t xml:space="preserve"> monitorare non solo i meccanismi di compensazione intrapresi a livello nazionale ma, soprattutto l’adozione di misure di carattere generale, considerato che</w:t>
      </w:r>
      <w:r w:rsidR="00060E26">
        <w:rPr>
          <w:rFonts w:ascii="Comic Sans MS" w:hAnsi="Comic Sans MS"/>
          <w:sz w:val="22"/>
          <w:lang w:val="it-IT"/>
        </w:rPr>
        <w:t>, a suo avviso,</w:t>
      </w:r>
      <w:r>
        <w:rPr>
          <w:rFonts w:ascii="Comic Sans MS" w:hAnsi="Comic Sans MS"/>
          <w:sz w:val="22"/>
          <w:lang w:val="it-IT"/>
        </w:rPr>
        <w:t xml:space="preserve"> l</w:t>
      </w:r>
      <w:r w:rsidR="005D3907" w:rsidRPr="00B45396">
        <w:rPr>
          <w:rFonts w:ascii="Comic Sans MS" w:hAnsi="Comic Sans MS"/>
          <w:sz w:val="22"/>
          <w:lang w:val="it-IT"/>
        </w:rPr>
        <w:t>e Corti interne spesso hanno adottato decisioni non</w:t>
      </w:r>
      <w:r>
        <w:rPr>
          <w:rFonts w:ascii="Comic Sans MS" w:hAnsi="Comic Sans MS"/>
          <w:sz w:val="22"/>
          <w:lang w:val="it-IT"/>
        </w:rPr>
        <w:t xml:space="preserve"> </w:t>
      </w:r>
      <w:r w:rsidR="005D3907" w:rsidRPr="00B45396">
        <w:rPr>
          <w:rFonts w:ascii="Comic Sans MS" w:hAnsi="Comic Sans MS"/>
          <w:sz w:val="22"/>
          <w:lang w:val="it-IT"/>
        </w:rPr>
        <w:t xml:space="preserve">rispondenti al dettato dell’articolo 6 della Convenzione. </w:t>
      </w:r>
    </w:p>
    <w:p w:rsidR="00D37310" w:rsidRDefault="00D37310" w:rsidP="00D37310">
      <w:pPr>
        <w:widowControl w:val="0"/>
        <w:autoSpaceDE w:val="0"/>
        <w:autoSpaceDN w:val="0"/>
        <w:adjustRightInd w:val="0"/>
        <w:jc w:val="both"/>
        <w:rPr>
          <w:rFonts w:ascii="Comic Sans MS" w:hAnsi="Comic Sans MS"/>
          <w:sz w:val="22"/>
          <w:lang w:val="it-IT"/>
        </w:rPr>
      </w:pPr>
    </w:p>
    <w:p w:rsidR="00845BE3" w:rsidRDefault="00845BE3"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Prima di concludere, un breve cenno al tema delle </w:t>
      </w:r>
      <w:r w:rsidRPr="00663D71">
        <w:rPr>
          <w:rFonts w:ascii="Comic Sans MS" w:hAnsi="Comic Sans MS"/>
          <w:sz w:val="22"/>
          <w:u w:val="single"/>
          <w:lang w:val="it-IT"/>
        </w:rPr>
        <w:t>e</w:t>
      </w:r>
      <w:r w:rsidR="00E071F3" w:rsidRPr="00663D71">
        <w:rPr>
          <w:rFonts w:ascii="Comic Sans MS" w:hAnsi="Comic Sans MS"/>
          <w:sz w:val="22"/>
          <w:u w:val="single"/>
          <w:lang w:val="it-IT"/>
        </w:rPr>
        <w:t>spulsioni collettive</w:t>
      </w:r>
      <w:r w:rsidR="00663D71">
        <w:rPr>
          <w:rFonts w:ascii="Comic Sans MS" w:hAnsi="Comic Sans MS"/>
          <w:sz w:val="22"/>
          <w:lang w:val="it-IT"/>
        </w:rPr>
        <w:t xml:space="preserve"> e dei </w:t>
      </w:r>
      <w:r w:rsidR="00663D71" w:rsidRPr="00663D71">
        <w:rPr>
          <w:rFonts w:ascii="Comic Sans MS" w:hAnsi="Comic Sans MS"/>
          <w:sz w:val="22"/>
          <w:u w:val="single"/>
          <w:lang w:val="it-IT"/>
        </w:rPr>
        <w:t>trattenimenti presso i centri di accoglienza</w:t>
      </w:r>
      <w:r>
        <w:rPr>
          <w:rFonts w:ascii="Comic Sans MS" w:hAnsi="Comic Sans MS"/>
          <w:sz w:val="22"/>
          <w:lang w:val="it-IT"/>
        </w:rPr>
        <w:t>.</w:t>
      </w:r>
    </w:p>
    <w:p w:rsidR="006A2A41" w:rsidRPr="006A2A41" w:rsidRDefault="00C172AF" w:rsidP="006A2A41">
      <w:pPr>
        <w:pStyle w:val="JuPara"/>
        <w:ind w:firstLine="0"/>
        <w:rPr>
          <w:rFonts w:ascii="Comic Sans MS" w:hAnsi="Comic Sans MS" w:cs="Arial"/>
          <w:color w:val="000000"/>
          <w:sz w:val="22"/>
          <w:szCs w:val="22"/>
          <w:lang w:val="it-IT"/>
        </w:rPr>
      </w:pPr>
      <w:r>
        <w:rPr>
          <w:rFonts w:ascii="Comic Sans MS" w:hAnsi="Comic Sans MS"/>
          <w:sz w:val="22"/>
          <w:lang w:val="it-IT"/>
        </w:rPr>
        <w:t>Con riferimento</w:t>
      </w:r>
      <w:r w:rsidR="00663D71">
        <w:rPr>
          <w:rFonts w:ascii="Comic Sans MS" w:hAnsi="Comic Sans MS"/>
          <w:sz w:val="22"/>
          <w:lang w:val="it-IT"/>
        </w:rPr>
        <w:t xml:space="preserve"> al primo tema, i</w:t>
      </w:r>
      <w:r w:rsidR="00845BE3" w:rsidRPr="006A2A41">
        <w:rPr>
          <w:rFonts w:ascii="Comic Sans MS" w:hAnsi="Comic Sans MS"/>
          <w:sz w:val="22"/>
          <w:lang w:val="it-IT"/>
        </w:rPr>
        <w:t xml:space="preserve">l nostro paese è stato condannato nel </w:t>
      </w:r>
      <w:r w:rsidR="006A2A41" w:rsidRPr="006A2A41">
        <w:rPr>
          <w:rFonts w:ascii="Comic Sans MS" w:hAnsi="Comic Sans MS"/>
          <w:sz w:val="22"/>
          <w:lang w:val="it-IT"/>
        </w:rPr>
        <w:t xml:space="preserve">caso </w:t>
      </w:r>
      <w:r w:rsidR="004C3CB0">
        <w:rPr>
          <w:rFonts w:ascii="Comic Sans MS" w:hAnsi="Comic Sans MS"/>
          <w:i/>
          <w:sz w:val="22"/>
          <w:lang w:val="it-IT"/>
        </w:rPr>
        <w:t>Sharifi e altri c</w:t>
      </w:r>
      <w:r w:rsidR="006A2A41" w:rsidRPr="006A2A41">
        <w:rPr>
          <w:rFonts w:ascii="Comic Sans MS" w:hAnsi="Comic Sans MS"/>
          <w:i/>
          <w:sz w:val="22"/>
          <w:lang w:val="it-IT"/>
        </w:rPr>
        <w:t>/ Italia e Grecia</w:t>
      </w:r>
      <w:r w:rsidR="006A2A41" w:rsidRPr="006A2A41">
        <w:rPr>
          <w:rFonts w:ascii="Comic Sans MS" w:hAnsi="Comic Sans MS"/>
          <w:sz w:val="22"/>
          <w:lang w:val="it-IT"/>
        </w:rPr>
        <w:t xml:space="preserve"> del 21.10.2014 </w:t>
      </w:r>
      <w:r w:rsidR="006A2A41">
        <w:rPr>
          <w:rFonts w:ascii="Comic Sans MS" w:hAnsi="Comic Sans MS"/>
          <w:sz w:val="22"/>
          <w:lang w:val="it-IT"/>
        </w:rPr>
        <w:t>per violazione del combinato disposto degli articoli 13 e 3 della Convenzione e de</w:t>
      </w:r>
      <w:r w:rsidR="00663D71">
        <w:rPr>
          <w:rFonts w:ascii="Comic Sans MS" w:hAnsi="Comic Sans MS"/>
          <w:sz w:val="22"/>
          <w:lang w:val="it-IT"/>
        </w:rPr>
        <w:t>gli articoli 13 e</w:t>
      </w:r>
      <w:r w:rsidR="006A2A41">
        <w:rPr>
          <w:rFonts w:ascii="Comic Sans MS" w:hAnsi="Comic Sans MS"/>
          <w:sz w:val="22"/>
          <w:lang w:val="it-IT"/>
        </w:rPr>
        <w:t xml:space="preserve"> 4 del Protocollo 4</w:t>
      </w:r>
      <w:r w:rsidR="006A2A41">
        <w:rPr>
          <w:rStyle w:val="Refdenotaalpie"/>
          <w:rFonts w:ascii="Comic Sans MS" w:hAnsi="Comic Sans MS"/>
          <w:sz w:val="22"/>
          <w:lang w:val="it-IT"/>
        </w:rPr>
        <w:footnoteReference w:id="16"/>
      </w:r>
      <w:r w:rsidR="006A2A41">
        <w:rPr>
          <w:rFonts w:ascii="Comic Sans MS" w:hAnsi="Comic Sans MS"/>
          <w:sz w:val="22"/>
          <w:lang w:val="it-IT"/>
        </w:rPr>
        <w:t xml:space="preserve">. </w:t>
      </w:r>
    </w:p>
    <w:p w:rsidR="0054299B" w:rsidRDefault="00C678C7"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Il caso risulta tuttora all’attenzione del Comitato dei Ministri, che ha dato atto delle numerose misure adottate nel 2017 nel nostro paese per aumentare la ricettività dei migranti e per consentire loro un accesso effettivo alle procedure di asilo</w:t>
      </w:r>
      <w:r w:rsidR="0054299B">
        <w:rPr>
          <w:rFonts w:ascii="Comic Sans MS" w:hAnsi="Comic Sans MS"/>
          <w:sz w:val="22"/>
          <w:lang w:val="it-IT"/>
        </w:rPr>
        <w:t xml:space="preserve"> e protezione; tuttavia, il Comitato, a fronte degli sbarchi sempre più frequenti sulle nostre coste, ha lamentato la carenza di adeguate informazioni sulla situazione dei porti nell’Adriatico</w:t>
      </w:r>
      <w:r w:rsidR="00B177A3">
        <w:rPr>
          <w:rFonts w:ascii="Comic Sans MS" w:hAnsi="Comic Sans MS"/>
          <w:sz w:val="22"/>
          <w:lang w:val="it-IT"/>
        </w:rPr>
        <w:t xml:space="preserve"> e sui respingimento verso la Grecia</w:t>
      </w:r>
      <w:r w:rsidR="0054299B">
        <w:rPr>
          <w:rFonts w:ascii="Comic Sans MS" w:hAnsi="Comic Sans MS"/>
          <w:sz w:val="22"/>
          <w:lang w:val="it-IT"/>
        </w:rPr>
        <w:t xml:space="preserve">. Il </w:t>
      </w:r>
      <w:r w:rsidR="00B177A3">
        <w:rPr>
          <w:rFonts w:ascii="Comic Sans MS" w:hAnsi="Comic Sans MS"/>
          <w:sz w:val="22"/>
          <w:lang w:val="it-IT"/>
        </w:rPr>
        <w:t xml:space="preserve">Governo italiano ha fornito i dati richiesti, ma il </w:t>
      </w:r>
      <w:r w:rsidR="0054299B">
        <w:rPr>
          <w:rFonts w:ascii="Comic Sans MS" w:hAnsi="Comic Sans MS"/>
          <w:sz w:val="22"/>
          <w:lang w:val="it-IT"/>
        </w:rPr>
        <w:t>monitoraggio del Comitato non si è ancora concluso.</w:t>
      </w:r>
    </w:p>
    <w:p w:rsidR="00663D71" w:rsidRDefault="0054299B"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Analogo esito va registrato per la sentenza</w:t>
      </w:r>
      <w:r w:rsidR="00802100">
        <w:rPr>
          <w:rFonts w:ascii="Comic Sans MS" w:hAnsi="Comic Sans MS"/>
          <w:sz w:val="22"/>
          <w:lang w:val="it-IT"/>
        </w:rPr>
        <w:t xml:space="preserve"> della Grande Camera</w:t>
      </w:r>
      <w:r>
        <w:rPr>
          <w:rFonts w:ascii="Comic Sans MS" w:hAnsi="Comic Sans MS"/>
          <w:sz w:val="22"/>
          <w:lang w:val="it-IT"/>
        </w:rPr>
        <w:t xml:space="preserve"> </w:t>
      </w:r>
      <w:r w:rsidRPr="0054299B">
        <w:rPr>
          <w:rFonts w:ascii="Comic Sans MS" w:hAnsi="Comic Sans MS"/>
          <w:i/>
          <w:sz w:val="22"/>
          <w:lang w:val="it-IT"/>
        </w:rPr>
        <w:t>Khlaifa e altri c/ Italia</w:t>
      </w:r>
      <w:r>
        <w:rPr>
          <w:rFonts w:ascii="Comic Sans MS" w:hAnsi="Comic Sans MS"/>
          <w:sz w:val="22"/>
          <w:lang w:val="it-IT"/>
        </w:rPr>
        <w:t xml:space="preserve"> del 1</w:t>
      </w:r>
      <w:r w:rsidR="00802100">
        <w:rPr>
          <w:rFonts w:ascii="Comic Sans MS" w:hAnsi="Comic Sans MS"/>
          <w:sz w:val="22"/>
          <w:lang w:val="it-IT"/>
        </w:rPr>
        <w:t>5</w:t>
      </w:r>
      <w:r>
        <w:rPr>
          <w:rFonts w:ascii="Comic Sans MS" w:hAnsi="Comic Sans MS"/>
          <w:sz w:val="22"/>
          <w:lang w:val="it-IT"/>
        </w:rPr>
        <w:t>.</w:t>
      </w:r>
      <w:r w:rsidR="00802100">
        <w:rPr>
          <w:rFonts w:ascii="Comic Sans MS" w:hAnsi="Comic Sans MS"/>
          <w:sz w:val="22"/>
          <w:lang w:val="it-IT"/>
        </w:rPr>
        <w:t>12</w:t>
      </w:r>
      <w:r>
        <w:rPr>
          <w:rFonts w:ascii="Comic Sans MS" w:hAnsi="Comic Sans MS"/>
          <w:sz w:val="22"/>
          <w:lang w:val="it-IT"/>
        </w:rPr>
        <w:t>.201</w:t>
      </w:r>
      <w:r w:rsidR="00802100">
        <w:rPr>
          <w:rFonts w:ascii="Comic Sans MS" w:hAnsi="Comic Sans MS"/>
          <w:sz w:val="22"/>
          <w:lang w:val="it-IT"/>
        </w:rPr>
        <w:t>6</w:t>
      </w:r>
      <w:r w:rsidR="00663D71">
        <w:rPr>
          <w:rFonts w:ascii="Comic Sans MS" w:hAnsi="Comic Sans MS"/>
          <w:sz w:val="22"/>
          <w:lang w:val="it-IT"/>
        </w:rPr>
        <w:t>, poiché le informazioni fornite dal Governo italiano sono ancora all’esame del Comitato</w:t>
      </w:r>
      <w:r w:rsidR="00B0064C">
        <w:rPr>
          <w:rFonts w:ascii="Comic Sans MS" w:hAnsi="Comic Sans MS"/>
          <w:sz w:val="22"/>
          <w:lang w:val="it-IT"/>
        </w:rPr>
        <w:t xml:space="preserve"> dei Ministri</w:t>
      </w:r>
      <w:r w:rsidR="00663D71">
        <w:rPr>
          <w:rFonts w:ascii="Comic Sans MS" w:hAnsi="Comic Sans MS"/>
          <w:sz w:val="22"/>
          <w:lang w:val="it-IT"/>
        </w:rPr>
        <w:t>.</w:t>
      </w:r>
    </w:p>
    <w:p w:rsidR="00663D71" w:rsidRDefault="00663D71" w:rsidP="00663D71">
      <w:pPr>
        <w:jc w:val="both"/>
        <w:rPr>
          <w:rFonts w:ascii="Comic Sans MS" w:hAnsi="Comic Sans MS"/>
          <w:sz w:val="22"/>
          <w:lang w:val="it-IT"/>
        </w:rPr>
      </w:pPr>
      <w:r>
        <w:rPr>
          <w:rFonts w:ascii="Comic Sans MS" w:hAnsi="Comic Sans MS"/>
          <w:sz w:val="22"/>
          <w:lang w:val="it-IT"/>
        </w:rPr>
        <w:t xml:space="preserve">La sentenza </w:t>
      </w:r>
      <w:r w:rsidRPr="00663D71">
        <w:rPr>
          <w:rFonts w:ascii="Comic Sans MS" w:hAnsi="Comic Sans MS"/>
          <w:i/>
          <w:sz w:val="22"/>
          <w:lang w:val="it-IT"/>
        </w:rPr>
        <w:t>Khlaifa</w:t>
      </w:r>
      <w:r>
        <w:rPr>
          <w:rFonts w:ascii="Comic Sans MS" w:hAnsi="Comic Sans MS"/>
          <w:sz w:val="22"/>
          <w:lang w:val="it-IT"/>
        </w:rPr>
        <w:t xml:space="preserve"> riguarda la vicenda di tre cittadini tunisini, sbarcati irregolarmente sulle coste italiane nel settembre 2011, i quali si dolevano del trattamento subito nel centro di accoglienza di Lampedusa</w:t>
      </w:r>
      <w:r w:rsidRPr="00663D71">
        <w:rPr>
          <w:rFonts w:ascii="Comic Sans MS" w:hAnsi="Comic Sans MS"/>
          <w:sz w:val="22"/>
          <w:lang w:val="it-IT"/>
        </w:rPr>
        <w:t xml:space="preserve"> e</w:t>
      </w:r>
      <w:r w:rsidR="00C172AF">
        <w:rPr>
          <w:rFonts w:ascii="Comic Sans MS" w:hAnsi="Comic Sans MS"/>
          <w:sz w:val="22"/>
          <w:lang w:val="it-IT"/>
        </w:rPr>
        <w:t>, in seguito,</w:t>
      </w:r>
      <w:r w:rsidRPr="00663D71">
        <w:rPr>
          <w:rFonts w:ascii="Comic Sans MS" w:hAnsi="Comic Sans MS"/>
          <w:sz w:val="22"/>
          <w:lang w:val="it-IT"/>
        </w:rPr>
        <w:t xml:space="preserve"> presso il porto di Palermo</w:t>
      </w:r>
      <w:r>
        <w:rPr>
          <w:rFonts w:ascii="Comic Sans MS" w:hAnsi="Comic Sans MS"/>
          <w:sz w:val="22"/>
          <w:lang w:val="it-IT"/>
        </w:rPr>
        <w:t xml:space="preserve">. </w:t>
      </w:r>
      <w:r w:rsidRPr="00663D71">
        <w:rPr>
          <w:rFonts w:ascii="Comic Sans MS" w:hAnsi="Comic Sans MS"/>
          <w:sz w:val="22"/>
          <w:lang w:val="it-IT"/>
        </w:rPr>
        <w:t>Con la sentenza della Grande Camera la Corte, accogliendo la tesi del Governo italiano, ha escluso la violazione dell’art. 4 Prot</w:t>
      </w:r>
      <w:r w:rsidR="00665131">
        <w:rPr>
          <w:rFonts w:ascii="Comic Sans MS" w:hAnsi="Comic Sans MS"/>
          <w:sz w:val="22"/>
          <w:lang w:val="it-IT"/>
        </w:rPr>
        <w:t>ocollo</w:t>
      </w:r>
      <w:r w:rsidRPr="00663D71">
        <w:rPr>
          <w:rFonts w:ascii="Comic Sans MS" w:hAnsi="Comic Sans MS"/>
          <w:sz w:val="22"/>
          <w:lang w:val="it-IT"/>
        </w:rPr>
        <w:t xml:space="preserve"> 4</w:t>
      </w:r>
      <w:r w:rsidR="00665131">
        <w:rPr>
          <w:rFonts w:ascii="Comic Sans MS" w:hAnsi="Comic Sans MS"/>
          <w:sz w:val="22"/>
          <w:lang w:val="it-IT"/>
        </w:rPr>
        <w:t>,</w:t>
      </w:r>
      <w:r w:rsidRPr="00663D71">
        <w:rPr>
          <w:rFonts w:ascii="Comic Sans MS" w:hAnsi="Comic Sans MS"/>
          <w:sz w:val="22"/>
          <w:lang w:val="it-IT"/>
        </w:rPr>
        <w:t xml:space="preserve"> ritenendo che non via sia stata una espulsione collettiva e neanche una violazione dell’art. 13 (diritto a un ricorso effettivo) in combinato disposto con l’art. 4 Prot</w:t>
      </w:r>
      <w:r w:rsidR="00665131">
        <w:rPr>
          <w:rFonts w:ascii="Comic Sans MS" w:hAnsi="Comic Sans MS"/>
          <w:sz w:val="22"/>
          <w:lang w:val="it-IT"/>
        </w:rPr>
        <w:t>ocollo</w:t>
      </w:r>
      <w:r w:rsidRPr="00663D71">
        <w:rPr>
          <w:rFonts w:ascii="Comic Sans MS" w:hAnsi="Comic Sans MS"/>
          <w:sz w:val="22"/>
          <w:lang w:val="it-IT"/>
        </w:rPr>
        <w:t xml:space="preserve"> 4; ha altresì escluso la violazione dell’art. 3 </w:t>
      </w:r>
      <w:r>
        <w:rPr>
          <w:rFonts w:ascii="Comic Sans MS" w:hAnsi="Comic Sans MS"/>
          <w:sz w:val="22"/>
          <w:lang w:val="it-IT"/>
        </w:rPr>
        <w:t xml:space="preserve">della </w:t>
      </w:r>
      <w:r w:rsidRPr="00663D71">
        <w:rPr>
          <w:rFonts w:ascii="Comic Sans MS" w:hAnsi="Comic Sans MS"/>
          <w:sz w:val="22"/>
          <w:lang w:val="it-IT"/>
        </w:rPr>
        <w:t>Conv</w:t>
      </w:r>
      <w:r>
        <w:rPr>
          <w:rFonts w:ascii="Comic Sans MS" w:hAnsi="Comic Sans MS"/>
          <w:sz w:val="22"/>
          <w:lang w:val="it-IT"/>
        </w:rPr>
        <w:t>enzione</w:t>
      </w:r>
      <w:r w:rsidRPr="00663D71">
        <w:rPr>
          <w:rFonts w:ascii="Comic Sans MS" w:hAnsi="Comic Sans MS"/>
          <w:sz w:val="22"/>
          <w:lang w:val="it-IT"/>
        </w:rPr>
        <w:t xml:space="preserve"> </w:t>
      </w:r>
      <w:r w:rsidR="00665131">
        <w:rPr>
          <w:rFonts w:ascii="Comic Sans MS" w:hAnsi="Comic Sans MS"/>
          <w:sz w:val="22"/>
          <w:lang w:val="it-IT"/>
        </w:rPr>
        <w:t xml:space="preserve">relativamente </w:t>
      </w:r>
      <w:r w:rsidRPr="00663D71">
        <w:rPr>
          <w:rFonts w:ascii="Comic Sans MS" w:hAnsi="Comic Sans MS"/>
          <w:sz w:val="22"/>
          <w:lang w:val="it-IT"/>
        </w:rPr>
        <w:t>alla permanenza dei tre cittadini tunisini nel CSPA di Contrada Imbriacola (Lampedusa) e sulle navi nel porto di Palermo.</w:t>
      </w:r>
    </w:p>
    <w:p w:rsidR="00C172AF" w:rsidRDefault="00663D71" w:rsidP="00663D71">
      <w:pPr>
        <w:jc w:val="both"/>
        <w:rPr>
          <w:rFonts w:ascii="Comic Sans MS" w:hAnsi="Comic Sans MS"/>
          <w:sz w:val="22"/>
          <w:lang w:val="it-IT"/>
        </w:rPr>
      </w:pPr>
      <w:r w:rsidRPr="00663D71">
        <w:rPr>
          <w:rFonts w:ascii="Comic Sans MS" w:hAnsi="Comic Sans MS"/>
          <w:sz w:val="22"/>
          <w:lang w:val="it-IT"/>
        </w:rPr>
        <w:t>La Corte, invece, ha confermato la sentenza</w:t>
      </w:r>
      <w:r>
        <w:rPr>
          <w:rFonts w:ascii="Comic Sans MS" w:hAnsi="Comic Sans MS"/>
          <w:sz w:val="22"/>
          <w:lang w:val="it-IT"/>
        </w:rPr>
        <w:t xml:space="preserve"> emessa</w:t>
      </w:r>
      <w:r w:rsidRPr="00663D71">
        <w:rPr>
          <w:rFonts w:ascii="Comic Sans MS" w:hAnsi="Comic Sans MS"/>
          <w:sz w:val="22"/>
          <w:lang w:val="it-IT"/>
        </w:rPr>
        <w:t xml:space="preserve"> </w:t>
      </w:r>
      <w:r>
        <w:rPr>
          <w:rFonts w:ascii="Comic Sans MS" w:hAnsi="Comic Sans MS"/>
          <w:sz w:val="22"/>
          <w:lang w:val="it-IT"/>
        </w:rPr>
        <w:t>i</w:t>
      </w:r>
      <w:r w:rsidRPr="00663D71">
        <w:rPr>
          <w:rFonts w:ascii="Comic Sans MS" w:hAnsi="Comic Sans MS"/>
          <w:sz w:val="22"/>
          <w:lang w:val="it-IT"/>
        </w:rPr>
        <w:t>l 1</w:t>
      </w:r>
      <w:r w:rsidR="00665131">
        <w:rPr>
          <w:rFonts w:ascii="Comic Sans MS" w:hAnsi="Comic Sans MS"/>
          <w:sz w:val="22"/>
          <w:lang w:val="it-IT"/>
        </w:rPr>
        <w:t>.9.</w:t>
      </w:r>
      <w:r w:rsidRPr="00663D71">
        <w:rPr>
          <w:rFonts w:ascii="Comic Sans MS" w:hAnsi="Comic Sans MS"/>
          <w:sz w:val="22"/>
          <w:lang w:val="it-IT"/>
        </w:rPr>
        <w:t>2015 nella parte in cui aveva condannato l’Italia per la v</w:t>
      </w:r>
      <w:r w:rsidR="00665131">
        <w:rPr>
          <w:rFonts w:ascii="Comic Sans MS" w:hAnsi="Comic Sans MS"/>
          <w:sz w:val="22"/>
          <w:lang w:val="it-IT"/>
        </w:rPr>
        <w:t>iolazione dell’art. 5, paragrafi</w:t>
      </w:r>
      <w:r w:rsidRPr="00663D71">
        <w:rPr>
          <w:rFonts w:ascii="Comic Sans MS" w:hAnsi="Comic Sans MS"/>
          <w:sz w:val="22"/>
          <w:lang w:val="it-IT"/>
        </w:rPr>
        <w:t xml:space="preserve"> 1, 2 e 4 </w:t>
      </w:r>
      <w:r w:rsidR="00665131">
        <w:rPr>
          <w:rFonts w:ascii="Comic Sans MS" w:hAnsi="Comic Sans MS"/>
          <w:sz w:val="22"/>
          <w:lang w:val="it-IT"/>
        </w:rPr>
        <w:t xml:space="preserve">della </w:t>
      </w:r>
      <w:r w:rsidRPr="00663D71">
        <w:rPr>
          <w:rFonts w:ascii="Comic Sans MS" w:hAnsi="Comic Sans MS"/>
          <w:sz w:val="22"/>
          <w:lang w:val="it-IT"/>
        </w:rPr>
        <w:t>Conv</w:t>
      </w:r>
      <w:r w:rsidR="00665131">
        <w:rPr>
          <w:rFonts w:ascii="Comic Sans MS" w:hAnsi="Comic Sans MS"/>
          <w:sz w:val="22"/>
          <w:lang w:val="it-IT"/>
        </w:rPr>
        <w:t>enzione</w:t>
      </w:r>
      <w:r w:rsidRPr="00663D71">
        <w:rPr>
          <w:rFonts w:ascii="Comic Sans MS" w:hAnsi="Comic Sans MS"/>
          <w:sz w:val="22"/>
          <w:lang w:val="it-IT"/>
        </w:rPr>
        <w:t xml:space="preserve"> (in materia di diritto alla libertà e alla sicurezza), concludendo che, in concreto e a dispetto della qualificazione del CSPA operata dal diritto interno, i ricorrenti erano stati ivi trattenuti nell'ambito di una vera e propria privazione della libertà personale (violazione art. 5, paragrafo 1)</w:t>
      </w:r>
      <w:r w:rsidR="00665131">
        <w:rPr>
          <w:rFonts w:ascii="Comic Sans MS" w:hAnsi="Comic Sans MS"/>
          <w:sz w:val="22"/>
          <w:lang w:val="it-IT"/>
        </w:rPr>
        <w:t>,</w:t>
      </w:r>
      <w:r w:rsidRPr="00663D71">
        <w:rPr>
          <w:rFonts w:ascii="Comic Sans MS" w:hAnsi="Comic Sans MS"/>
          <w:sz w:val="22"/>
          <w:lang w:val="it-IT"/>
        </w:rPr>
        <w:t xml:space="preserve"> senza ricevere un</w:t>
      </w:r>
      <w:r w:rsidR="00665131">
        <w:rPr>
          <w:rFonts w:ascii="Comic Sans MS" w:hAnsi="Comic Sans MS"/>
          <w:sz w:val="22"/>
          <w:lang w:val="it-IT"/>
        </w:rPr>
        <w:t>’</w:t>
      </w:r>
      <w:r w:rsidRPr="00663D71">
        <w:rPr>
          <w:rFonts w:ascii="Comic Sans MS" w:hAnsi="Comic Sans MS"/>
          <w:sz w:val="22"/>
          <w:lang w:val="it-IT"/>
        </w:rPr>
        <w:t>adeguata e sollecita  informazione sui presupposti in fatto e in diritto della loro detenzione (violazione art. 5, paragrafo 2), senza essere stati posti in condizione di contestare la legalità della loro detenzione</w:t>
      </w:r>
      <w:r w:rsidR="00665131">
        <w:rPr>
          <w:rFonts w:ascii="Comic Sans MS" w:hAnsi="Comic Sans MS"/>
          <w:sz w:val="22"/>
          <w:lang w:val="it-IT"/>
        </w:rPr>
        <w:t>,</w:t>
      </w:r>
      <w:r w:rsidRPr="00663D71">
        <w:rPr>
          <w:rFonts w:ascii="Comic Sans MS" w:hAnsi="Comic Sans MS"/>
          <w:sz w:val="22"/>
          <w:lang w:val="it-IT"/>
        </w:rPr>
        <w:t xml:space="preserve"> </w:t>
      </w:r>
      <w:r w:rsidR="00665131">
        <w:rPr>
          <w:rFonts w:ascii="Comic Sans MS" w:hAnsi="Comic Sans MS"/>
          <w:sz w:val="22"/>
          <w:lang w:val="it-IT"/>
        </w:rPr>
        <w:t>atteso che</w:t>
      </w:r>
      <w:r w:rsidRPr="00663D71">
        <w:rPr>
          <w:rFonts w:ascii="Comic Sans MS" w:hAnsi="Comic Sans MS"/>
          <w:sz w:val="22"/>
          <w:lang w:val="it-IT"/>
        </w:rPr>
        <w:t xml:space="preserve"> nessun provvedimento formale ad essa inerente era mai stato comunicato loro</w:t>
      </w:r>
      <w:r w:rsidR="00665131">
        <w:rPr>
          <w:rFonts w:ascii="Comic Sans MS" w:hAnsi="Comic Sans MS"/>
          <w:sz w:val="22"/>
          <w:lang w:val="it-IT"/>
        </w:rPr>
        <w:t>,</w:t>
      </w:r>
      <w:r w:rsidRPr="00663D71">
        <w:rPr>
          <w:rFonts w:ascii="Comic Sans MS" w:hAnsi="Comic Sans MS"/>
          <w:sz w:val="22"/>
          <w:lang w:val="it-IT"/>
        </w:rPr>
        <w:t xml:space="preserve"> né pertanto poteva essere fatto oggetto di impugnazione (violazione art. 5, paragrafo 4). </w:t>
      </w:r>
    </w:p>
    <w:p w:rsidR="00E071F3" w:rsidRDefault="00C172AF" w:rsidP="00663D71">
      <w:pPr>
        <w:jc w:val="both"/>
        <w:rPr>
          <w:rFonts w:ascii="Comic Sans MS" w:hAnsi="Comic Sans MS"/>
          <w:sz w:val="22"/>
          <w:lang w:val="it-IT"/>
        </w:rPr>
      </w:pPr>
      <w:r>
        <w:rPr>
          <w:rFonts w:ascii="Comic Sans MS" w:hAnsi="Comic Sans MS"/>
          <w:sz w:val="22"/>
          <w:lang w:val="it-IT"/>
        </w:rPr>
        <w:t xml:space="preserve">Il tema è quanto mai attuale e </w:t>
      </w:r>
      <w:r w:rsidR="00AE6C45">
        <w:rPr>
          <w:rFonts w:ascii="Comic Sans MS" w:hAnsi="Comic Sans MS"/>
          <w:sz w:val="22"/>
          <w:lang w:val="it-IT"/>
        </w:rPr>
        <w:t xml:space="preserve">pendono dinanzi alla Corte EDU altri ricorsi riguardanti il trattamento riservato ai migranti e ai minori nei centri di accoglienza. </w:t>
      </w:r>
    </w:p>
    <w:p w:rsidR="00E071F3" w:rsidRDefault="00E071F3" w:rsidP="00D37310">
      <w:pPr>
        <w:widowControl w:val="0"/>
        <w:autoSpaceDE w:val="0"/>
        <w:autoSpaceDN w:val="0"/>
        <w:adjustRightInd w:val="0"/>
        <w:jc w:val="both"/>
        <w:rPr>
          <w:rFonts w:ascii="Comic Sans MS" w:hAnsi="Comic Sans MS"/>
          <w:sz w:val="22"/>
          <w:lang w:val="it-IT"/>
        </w:rPr>
      </w:pPr>
    </w:p>
    <w:p w:rsidR="006E23C0" w:rsidRDefault="00851085"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Termino qui </w:t>
      </w:r>
      <w:r w:rsidR="00AE05F9">
        <w:rPr>
          <w:rFonts w:ascii="Comic Sans MS" w:hAnsi="Comic Sans MS"/>
          <w:sz w:val="22"/>
          <w:lang w:val="it-IT"/>
        </w:rPr>
        <w:t xml:space="preserve">la </w:t>
      </w:r>
      <w:r w:rsidR="006E23C0">
        <w:rPr>
          <w:rFonts w:ascii="Comic Sans MS" w:hAnsi="Comic Sans MS"/>
          <w:sz w:val="22"/>
          <w:lang w:val="it-IT"/>
        </w:rPr>
        <w:t xml:space="preserve">mia </w:t>
      </w:r>
      <w:r w:rsidR="00AE05F9">
        <w:rPr>
          <w:rFonts w:ascii="Comic Sans MS" w:hAnsi="Comic Sans MS"/>
          <w:sz w:val="22"/>
          <w:lang w:val="it-IT"/>
        </w:rPr>
        <w:t>breve</w:t>
      </w:r>
      <w:r w:rsidR="00F43E5E">
        <w:rPr>
          <w:rFonts w:ascii="Comic Sans MS" w:hAnsi="Comic Sans MS"/>
          <w:sz w:val="22"/>
          <w:lang w:val="it-IT"/>
        </w:rPr>
        <w:t xml:space="preserve"> analisi </w:t>
      </w:r>
      <w:r w:rsidR="006E23C0">
        <w:rPr>
          <w:rFonts w:ascii="Comic Sans MS" w:hAnsi="Comic Sans MS"/>
          <w:sz w:val="22"/>
          <w:lang w:val="it-IT"/>
        </w:rPr>
        <w:t>su alcuni casi rilevanti per il nostro paese.</w:t>
      </w:r>
    </w:p>
    <w:p w:rsidR="003E34CA" w:rsidRDefault="0089094F"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Credo sia emerso chiaramente come</w:t>
      </w:r>
      <w:r w:rsidR="00B0064C">
        <w:rPr>
          <w:rFonts w:ascii="Comic Sans MS" w:hAnsi="Comic Sans MS"/>
          <w:sz w:val="22"/>
          <w:lang w:val="it-IT"/>
        </w:rPr>
        <w:t xml:space="preserve"> l’</w:t>
      </w:r>
      <w:r>
        <w:rPr>
          <w:rFonts w:ascii="Comic Sans MS" w:hAnsi="Comic Sans MS"/>
          <w:sz w:val="22"/>
          <w:lang w:val="it-IT"/>
        </w:rPr>
        <w:t xml:space="preserve">esecuzione delle sentenze </w:t>
      </w:r>
      <w:r w:rsidR="0040290C">
        <w:rPr>
          <w:rFonts w:ascii="Comic Sans MS" w:hAnsi="Comic Sans MS"/>
          <w:sz w:val="22"/>
          <w:lang w:val="it-IT"/>
        </w:rPr>
        <w:t xml:space="preserve">della Corte europea </w:t>
      </w:r>
      <w:r>
        <w:rPr>
          <w:rFonts w:ascii="Comic Sans MS" w:hAnsi="Comic Sans MS"/>
          <w:sz w:val="22"/>
          <w:lang w:val="it-IT"/>
        </w:rPr>
        <w:t>sia</w:t>
      </w:r>
      <w:r w:rsidR="00B0064C">
        <w:rPr>
          <w:rFonts w:ascii="Comic Sans MS" w:hAnsi="Comic Sans MS"/>
          <w:sz w:val="22"/>
          <w:lang w:val="it-IT"/>
        </w:rPr>
        <w:t xml:space="preserve"> </w:t>
      </w:r>
      <w:r w:rsidR="00CF7931">
        <w:rPr>
          <w:rFonts w:ascii="Comic Sans MS" w:hAnsi="Comic Sans MS"/>
          <w:sz w:val="22"/>
          <w:lang w:val="it-IT"/>
        </w:rPr>
        <w:t xml:space="preserve">vicenda </w:t>
      </w:r>
      <w:r w:rsidR="006E23C0">
        <w:rPr>
          <w:rFonts w:ascii="Comic Sans MS" w:hAnsi="Comic Sans MS"/>
          <w:sz w:val="22"/>
          <w:lang w:val="it-IT"/>
        </w:rPr>
        <w:t xml:space="preserve">sempre diversa e </w:t>
      </w:r>
      <w:r w:rsidR="00FA7E07">
        <w:rPr>
          <w:rFonts w:ascii="Comic Sans MS" w:hAnsi="Comic Sans MS"/>
          <w:sz w:val="22"/>
          <w:lang w:val="it-IT"/>
        </w:rPr>
        <w:t xml:space="preserve">assai </w:t>
      </w:r>
      <w:r w:rsidR="00B0064C">
        <w:rPr>
          <w:rFonts w:ascii="Comic Sans MS" w:hAnsi="Comic Sans MS"/>
          <w:sz w:val="22"/>
          <w:lang w:val="it-IT"/>
        </w:rPr>
        <w:t>complessa</w:t>
      </w:r>
      <w:r>
        <w:rPr>
          <w:rFonts w:ascii="Comic Sans MS" w:hAnsi="Comic Sans MS"/>
          <w:sz w:val="22"/>
          <w:lang w:val="it-IT"/>
        </w:rPr>
        <w:t xml:space="preserve">, che </w:t>
      </w:r>
      <w:r w:rsidR="00AE05F9">
        <w:rPr>
          <w:rFonts w:ascii="Comic Sans MS" w:hAnsi="Comic Sans MS"/>
          <w:sz w:val="22"/>
          <w:lang w:val="it-IT"/>
        </w:rPr>
        <w:t xml:space="preserve">spesso </w:t>
      </w:r>
      <w:r>
        <w:rPr>
          <w:rFonts w:ascii="Comic Sans MS" w:hAnsi="Comic Sans MS"/>
          <w:sz w:val="22"/>
          <w:lang w:val="it-IT"/>
        </w:rPr>
        <w:t>mette in discussione principi e valori radicati nel nostro sistema e impone</w:t>
      </w:r>
      <w:r w:rsidR="00AA6739">
        <w:rPr>
          <w:rFonts w:ascii="Comic Sans MS" w:hAnsi="Comic Sans MS"/>
          <w:sz w:val="22"/>
          <w:lang w:val="it-IT"/>
        </w:rPr>
        <w:t xml:space="preserve"> un</w:t>
      </w:r>
      <w:r>
        <w:rPr>
          <w:rFonts w:ascii="Comic Sans MS" w:hAnsi="Comic Sans MS"/>
          <w:sz w:val="22"/>
          <w:lang w:val="it-IT"/>
        </w:rPr>
        <w:t xml:space="preserve"> costante </w:t>
      </w:r>
      <w:r w:rsidR="00AA6739">
        <w:rPr>
          <w:rFonts w:ascii="Comic Sans MS" w:hAnsi="Comic Sans MS"/>
          <w:sz w:val="22"/>
          <w:lang w:val="it-IT"/>
        </w:rPr>
        <w:t>dialogo argomentativo tra l</w:t>
      </w:r>
      <w:r w:rsidR="003E34CA">
        <w:rPr>
          <w:rFonts w:ascii="Comic Sans MS" w:hAnsi="Comic Sans MS"/>
          <w:sz w:val="22"/>
          <w:lang w:val="it-IT"/>
        </w:rPr>
        <w:t>e</w:t>
      </w:r>
      <w:r w:rsidR="00AA6739">
        <w:rPr>
          <w:rFonts w:ascii="Comic Sans MS" w:hAnsi="Comic Sans MS"/>
          <w:sz w:val="22"/>
          <w:lang w:val="it-IT"/>
        </w:rPr>
        <w:t xml:space="preserve"> corti nazionali e</w:t>
      </w:r>
      <w:r w:rsidR="003E34CA">
        <w:rPr>
          <w:rFonts w:ascii="Comic Sans MS" w:hAnsi="Comic Sans MS"/>
          <w:sz w:val="22"/>
          <w:lang w:val="it-IT"/>
        </w:rPr>
        <w:t xml:space="preserve"> quella europea, al fine di valutare i diritti in gioco e a</w:t>
      </w:r>
      <w:r w:rsidR="008F29E7">
        <w:rPr>
          <w:rFonts w:ascii="Comic Sans MS" w:hAnsi="Comic Sans MS"/>
          <w:sz w:val="22"/>
          <w:lang w:val="it-IT"/>
        </w:rPr>
        <w:t>d</w:t>
      </w:r>
      <w:r w:rsidR="003E34CA">
        <w:rPr>
          <w:rFonts w:ascii="Comic Sans MS" w:hAnsi="Comic Sans MS"/>
          <w:sz w:val="22"/>
          <w:lang w:val="it-IT"/>
        </w:rPr>
        <w:t xml:space="preserve"> assicurarne la </w:t>
      </w:r>
      <w:r w:rsidR="00AE05F9">
        <w:rPr>
          <w:rFonts w:ascii="Comic Sans MS" w:hAnsi="Comic Sans MS"/>
          <w:sz w:val="22"/>
          <w:lang w:val="it-IT"/>
        </w:rPr>
        <w:t xml:space="preserve">loro </w:t>
      </w:r>
      <w:r w:rsidR="003E34CA">
        <w:rPr>
          <w:rFonts w:ascii="Comic Sans MS" w:hAnsi="Comic Sans MS"/>
          <w:sz w:val="22"/>
          <w:lang w:val="it-IT"/>
        </w:rPr>
        <w:t>massima espansione</w:t>
      </w:r>
      <w:r w:rsidR="008F29E7">
        <w:rPr>
          <w:rFonts w:ascii="Comic Sans MS" w:hAnsi="Comic Sans MS"/>
          <w:sz w:val="22"/>
          <w:lang w:val="it-IT"/>
        </w:rPr>
        <w:t>,</w:t>
      </w:r>
      <w:r w:rsidR="003E34CA">
        <w:rPr>
          <w:rFonts w:ascii="Comic Sans MS" w:hAnsi="Comic Sans MS"/>
          <w:sz w:val="22"/>
          <w:lang w:val="it-IT"/>
        </w:rPr>
        <w:t xml:space="preserve"> in una forma compatibile con le connotazioni proprie del nostro ordinamento nazionale.</w:t>
      </w:r>
    </w:p>
    <w:p w:rsidR="00096B91" w:rsidRDefault="00F43E5E"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Al Governo italiano spetta il compito, in caso di </w:t>
      </w:r>
      <w:r w:rsidR="00096B91">
        <w:rPr>
          <w:rFonts w:ascii="Comic Sans MS" w:hAnsi="Comic Sans MS"/>
          <w:sz w:val="22"/>
          <w:lang w:val="it-IT"/>
        </w:rPr>
        <w:t>condanna per violazione della Convenzione</w:t>
      </w:r>
      <w:r w:rsidR="009426CF">
        <w:rPr>
          <w:rFonts w:ascii="Comic Sans MS" w:hAnsi="Comic Sans MS"/>
          <w:sz w:val="22"/>
          <w:lang w:val="it-IT"/>
        </w:rPr>
        <w:t>,</w:t>
      </w:r>
      <w:r w:rsidR="00096B91">
        <w:rPr>
          <w:rFonts w:ascii="Comic Sans MS" w:hAnsi="Comic Sans MS"/>
          <w:sz w:val="22"/>
          <w:lang w:val="it-IT"/>
        </w:rPr>
        <w:t xml:space="preserve"> </w:t>
      </w:r>
      <w:r>
        <w:rPr>
          <w:rFonts w:ascii="Comic Sans MS" w:hAnsi="Comic Sans MS"/>
          <w:sz w:val="22"/>
          <w:lang w:val="it-IT"/>
        </w:rPr>
        <w:t>di</w:t>
      </w:r>
      <w:r w:rsidR="00096B91">
        <w:rPr>
          <w:rFonts w:ascii="Comic Sans MS" w:hAnsi="Comic Sans MS"/>
          <w:sz w:val="22"/>
          <w:lang w:val="it-IT"/>
        </w:rPr>
        <w:t xml:space="preserve"> adottare</w:t>
      </w:r>
      <w:r>
        <w:rPr>
          <w:rFonts w:ascii="Comic Sans MS" w:hAnsi="Comic Sans MS"/>
          <w:sz w:val="22"/>
          <w:lang w:val="it-IT"/>
        </w:rPr>
        <w:t xml:space="preserve"> (o far adottare)</w:t>
      </w:r>
      <w:r w:rsidR="00096B91">
        <w:rPr>
          <w:rFonts w:ascii="Comic Sans MS" w:hAnsi="Comic Sans MS"/>
          <w:sz w:val="22"/>
          <w:lang w:val="it-IT"/>
        </w:rPr>
        <w:t xml:space="preserve"> le misure individuali e</w:t>
      </w:r>
      <w:r w:rsidR="002D121A">
        <w:rPr>
          <w:rFonts w:ascii="Comic Sans MS" w:hAnsi="Comic Sans MS"/>
          <w:sz w:val="22"/>
          <w:lang w:val="it-IT"/>
        </w:rPr>
        <w:t>/o</w:t>
      </w:r>
      <w:r w:rsidR="00096B91">
        <w:rPr>
          <w:rFonts w:ascii="Comic Sans MS" w:hAnsi="Comic Sans MS"/>
          <w:sz w:val="22"/>
          <w:lang w:val="it-IT"/>
        </w:rPr>
        <w:t xml:space="preserve"> generali per dare attuazione al </w:t>
      </w:r>
      <w:r w:rsidR="00096B91" w:rsidRPr="00096B91">
        <w:rPr>
          <w:rFonts w:ascii="Comic Sans MS" w:hAnsi="Comic Sans MS"/>
          <w:i/>
          <w:sz w:val="22"/>
          <w:lang w:val="it-IT"/>
        </w:rPr>
        <w:t>decisum</w:t>
      </w:r>
      <w:r w:rsidR="00096B91">
        <w:rPr>
          <w:rFonts w:ascii="Comic Sans MS" w:hAnsi="Comic Sans MS"/>
          <w:sz w:val="22"/>
          <w:lang w:val="it-IT"/>
        </w:rPr>
        <w:t xml:space="preserve"> della Corte europea.</w:t>
      </w:r>
    </w:p>
    <w:p w:rsidR="00FA7E07" w:rsidRDefault="002D121A"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In tali ipotesi, il sistema convenzionale affida l’individuazione </w:t>
      </w:r>
      <w:r w:rsidR="00553385">
        <w:rPr>
          <w:rFonts w:ascii="Comic Sans MS" w:hAnsi="Comic Sans MS"/>
          <w:sz w:val="22"/>
          <w:lang w:val="it-IT"/>
        </w:rPr>
        <w:t>dell</w:t>
      </w:r>
      <w:r w:rsidR="00392F51">
        <w:rPr>
          <w:rFonts w:ascii="Comic Sans MS" w:hAnsi="Comic Sans MS"/>
          <w:sz w:val="22"/>
          <w:lang w:val="it-IT"/>
        </w:rPr>
        <w:t>e più idonee modalità di esecuzione</w:t>
      </w:r>
      <w:r w:rsidR="00905943">
        <w:rPr>
          <w:rFonts w:ascii="Comic Sans MS" w:hAnsi="Comic Sans MS"/>
          <w:sz w:val="22"/>
          <w:lang w:val="it-IT"/>
        </w:rPr>
        <w:t xml:space="preserve"> </w:t>
      </w:r>
      <w:r w:rsidR="008F29E7">
        <w:rPr>
          <w:rFonts w:ascii="Comic Sans MS" w:hAnsi="Comic Sans MS"/>
          <w:sz w:val="22"/>
          <w:lang w:val="it-IT"/>
        </w:rPr>
        <w:t>all</w:t>
      </w:r>
      <w:r w:rsidR="00392F51">
        <w:rPr>
          <w:rFonts w:ascii="Comic Sans MS" w:hAnsi="Comic Sans MS"/>
          <w:sz w:val="22"/>
          <w:lang w:val="it-IT"/>
        </w:rPr>
        <w:t>’</w:t>
      </w:r>
      <w:r w:rsidR="00FA7E07">
        <w:rPr>
          <w:rFonts w:ascii="Comic Sans MS" w:hAnsi="Comic Sans MS"/>
          <w:sz w:val="22"/>
          <w:lang w:val="it-IT"/>
        </w:rPr>
        <w:t xml:space="preserve">interlocuzione </w:t>
      </w:r>
      <w:r w:rsidR="00392F51">
        <w:rPr>
          <w:rFonts w:ascii="Comic Sans MS" w:hAnsi="Comic Sans MS"/>
          <w:sz w:val="22"/>
          <w:lang w:val="it-IT"/>
        </w:rPr>
        <w:t xml:space="preserve">continua </w:t>
      </w:r>
      <w:r w:rsidR="008F29E7">
        <w:rPr>
          <w:rFonts w:ascii="Comic Sans MS" w:hAnsi="Comic Sans MS"/>
          <w:sz w:val="22"/>
          <w:lang w:val="it-IT"/>
        </w:rPr>
        <w:t>tra</w:t>
      </w:r>
      <w:r w:rsidR="00FA7E07">
        <w:rPr>
          <w:rFonts w:ascii="Comic Sans MS" w:hAnsi="Comic Sans MS"/>
          <w:sz w:val="22"/>
          <w:lang w:val="it-IT"/>
        </w:rPr>
        <w:t xml:space="preserve"> il Comitato dei Ministri </w:t>
      </w:r>
      <w:r w:rsidR="008F29E7">
        <w:rPr>
          <w:rFonts w:ascii="Comic Sans MS" w:hAnsi="Comic Sans MS"/>
          <w:sz w:val="22"/>
          <w:lang w:val="it-IT"/>
        </w:rPr>
        <w:t xml:space="preserve">e il </w:t>
      </w:r>
      <w:r w:rsidR="00FA7E07">
        <w:rPr>
          <w:rFonts w:ascii="Comic Sans MS" w:hAnsi="Comic Sans MS"/>
          <w:sz w:val="22"/>
          <w:lang w:val="it-IT"/>
        </w:rPr>
        <w:t>Governo</w:t>
      </w:r>
      <w:r w:rsidR="008F29E7">
        <w:rPr>
          <w:rFonts w:ascii="Comic Sans MS" w:hAnsi="Comic Sans MS"/>
          <w:sz w:val="22"/>
          <w:lang w:val="it-IT"/>
        </w:rPr>
        <w:t xml:space="preserve"> italiano</w:t>
      </w:r>
      <w:r w:rsidR="00FA7E07">
        <w:rPr>
          <w:rFonts w:ascii="Comic Sans MS" w:hAnsi="Comic Sans MS"/>
          <w:sz w:val="22"/>
          <w:lang w:val="it-IT"/>
        </w:rPr>
        <w:t>.</w:t>
      </w:r>
    </w:p>
    <w:p w:rsidR="00AE05F9" w:rsidRDefault="00FA7E07"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Sul piano interno, </w:t>
      </w:r>
      <w:r w:rsidR="00121B87">
        <w:rPr>
          <w:rFonts w:ascii="Comic Sans MS" w:hAnsi="Comic Sans MS"/>
          <w:sz w:val="22"/>
          <w:lang w:val="it-IT"/>
        </w:rPr>
        <w:t>si è visto</w:t>
      </w:r>
      <w:r>
        <w:rPr>
          <w:rFonts w:ascii="Comic Sans MS" w:hAnsi="Comic Sans MS"/>
          <w:sz w:val="22"/>
          <w:lang w:val="it-IT"/>
        </w:rPr>
        <w:t xml:space="preserve"> come la P</w:t>
      </w:r>
      <w:r w:rsidR="00584097">
        <w:rPr>
          <w:rFonts w:ascii="Comic Sans MS" w:hAnsi="Comic Sans MS"/>
          <w:sz w:val="22"/>
          <w:lang w:val="it-IT"/>
        </w:rPr>
        <w:t>residenza del Consiglio s</w:t>
      </w:r>
      <w:r>
        <w:rPr>
          <w:rFonts w:ascii="Comic Sans MS" w:hAnsi="Comic Sans MS"/>
          <w:sz w:val="22"/>
          <w:lang w:val="it-IT"/>
        </w:rPr>
        <w:t xml:space="preserve">ia l’organo </w:t>
      </w:r>
      <w:r w:rsidR="00584097">
        <w:rPr>
          <w:rFonts w:ascii="Comic Sans MS" w:hAnsi="Comic Sans MS"/>
          <w:sz w:val="22"/>
          <w:lang w:val="it-IT"/>
        </w:rPr>
        <w:t xml:space="preserve">deputato alla promozione degli adempimenti necessari all’esecuzione delle sentenze CEDU </w:t>
      </w:r>
      <w:r w:rsidR="008F29E7">
        <w:rPr>
          <w:rFonts w:ascii="Comic Sans MS" w:hAnsi="Comic Sans MS"/>
          <w:sz w:val="22"/>
          <w:lang w:val="it-IT"/>
        </w:rPr>
        <w:t>e abbia il compito di</w:t>
      </w:r>
      <w:r w:rsidR="00AE05F9">
        <w:rPr>
          <w:rFonts w:ascii="Comic Sans MS" w:hAnsi="Comic Sans MS"/>
          <w:sz w:val="22"/>
          <w:lang w:val="it-IT"/>
        </w:rPr>
        <w:t xml:space="preserve"> informare e</w:t>
      </w:r>
      <w:r w:rsidR="008F29E7">
        <w:rPr>
          <w:rFonts w:ascii="Comic Sans MS" w:hAnsi="Comic Sans MS"/>
          <w:sz w:val="22"/>
          <w:lang w:val="it-IT"/>
        </w:rPr>
        <w:t xml:space="preserve"> </w:t>
      </w:r>
      <w:r w:rsidR="00584097">
        <w:rPr>
          <w:rFonts w:ascii="Comic Sans MS" w:hAnsi="Comic Sans MS"/>
          <w:sz w:val="22"/>
          <w:lang w:val="it-IT"/>
        </w:rPr>
        <w:t>sensibilizzare il Parlamento sulle questioni emerse nel contenzioso europeo che possano comportare mutamenti nella nostra legislazione.</w:t>
      </w:r>
    </w:p>
    <w:p w:rsidR="007650CD" w:rsidRDefault="00AE05F9"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E’ un compito che il Dipartimento per gli affari giuridici e legislativi svolge con puntualità, come si evince anche dalla lettura della relazione annuale</w:t>
      </w:r>
      <w:r w:rsidR="00851085">
        <w:rPr>
          <w:rFonts w:ascii="Comic Sans MS" w:hAnsi="Comic Sans MS"/>
          <w:sz w:val="22"/>
          <w:lang w:val="it-IT"/>
        </w:rPr>
        <w:t xml:space="preserve"> -</w:t>
      </w:r>
      <w:r>
        <w:rPr>
          <w:rFonts w:ascii="Comic Sans MS" w:hAnsi="Comic Sans MS"/>
          <w:sz w:val="22"/>
          <w:lang w:val="it-IT"/>
        </w:rPr>
        <w:t xml:space="preserve"> disponibile sulla pagina</w:t>
      </w:r>
      <w:r w:rsidR="00851085">
        <w:rPr>
          <w:rFonts w:ascii="Comic Sans MS" w:hAnsi="Comic Sans MS"/>
          <w:sz w:val="22"/>
          <w:lang w:val="it-IT"/>
        </w:rPr>
        <w:t xml:space="preserve"> web della P</w:t>
      </w:r>
      <w:r>
        <w:rPr>
          <w:rFonts w:ascii="Comic Sans MS" w:hAnsi="Comic Sans MS"/>
          <w:sz w:val="22"/>
          <w:lang w:val="it-IT"/>
        </w:rPr>
        <w:t>residenza del Consiglio</w:t>
      </w:r>
      <w:r w:rsidR="00851085">
        <w:rPr>
          <w:rFonts w:ascii="Comic Sans MS" w:hAnsi="Comic Sans MS"/>
          <w:sz w:val="22"/>
          <w:lang w:val="it-IT"/>
        </w:rPr>
        <w:t xml:space="preserve"> - che costituisce un importante riferimento per</w:t>
      </w:r>
      <w:r w:rsidR="00774E05">
        <w:rPr>
          <w:rFonts w:ascii="Comic Sans MS" w:hAnsi="Comic Sans MS"/>
          <w:sz w:val="22"/>
          <w:lang w:val="it-IT"/>
        </w:rPr>
        <w:t xml:space="preserve"> tutti coloro che</w:t>
      </w:r>
      <w:r w:rsidR="00BF6192">
        <w:rPr>
          <w:rFonts w:ascii="Comic Sans MS" w:hAnsi="Comic Sans MS"/>
          <w:sz w:val="22"/>
          <w:lang w:val="it-IT"/>
        </w:rPr>
        <w:t>, professionalmente o meno, abbiano interesse per l’attività della CEDU e per il suo impatto sul nostro ordinamento</w:t>
      </w:r>
      <w:r w:rsidR="0025143B">
        <w:rPr>
          <w:rStyle w:val="Refdenotaalpie"/>
          <w:rFonts w:ascii="Comic Sans MS" w:hAnsi="Comic Sans MS"/>
          <w:sz w:val="22"/>
          <w:lang w:val="it-IT"/>
        </w:rPr>
        <w:footnoteReference w:id="17"/>
      </w:r>
      <w:r>
        <w:rPr>
          <w:rFonts w:ascii="Comic Sans MS" w:hAnsi="Comic Sans MS"/>
          <w:sz w:val="22"/>
          <w:lang w:val="it-IT"/>
        </w:rPr>
        <w:t>.</w:t>
      </w:r>
    </w:p>
    <w:p w:rsidR="007650CD" w:rsidRDefault="007650CD" w:rsidP="007650CD">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Sempre </w:t>
      </w:r>
      <w:r w:rsidR="00FF553E">
        <w:rPr>
          <w:rFonts w:ascii="Comic Sans MS" w:hAnsi="Comic Sans MS"/>
          <w:sz w:val="22"/>
          <w:lang w:val="it-IT"/>
        </w:rPr>
        <w:t>dal punto di vista</w:t>
      </w:r>
      <w:r>
        <w:rPr>
          <w:rFonts w:ascii="Comic Sans MS" w:hAnsi="Comic Sans MS"/>
          <w:sz w:val="22"/>
          <w:lang w:val="it-IT"/>
        </w:rPr>
        <w:t xml:space="preserve"> </w:t>
      </w:r>
      <w:r w:rsidR="00FF553E">
        <w:rPr>
          <w:rFonts w:ascii="Comic Sans MS" w:hAnsi="Comic Sans MS"/>
          <w:sz w:val="22"/>
          <w:lang w:val="it-IT"/>
        </w:rPr>
        <w:t>nazionale</w:t>
      </w:r>
      <w:r>
        <w:rPr>
          <w:rFonts w:ascii="Comic Sans MS" w:hAnsi="Comic Sans MS"/>
          <w:sz w:val="22"/>
          <w:lang w:val="it-IT"/>
        </w:rPr>
        <w:t xml:space="preserve">, va </w:t>
      </w:r>
      <w:r w:rsidR="004C3CB0">
        <w:rPr>
          <w:rFonts w:ascii="Comic Sans MS" w:hAnsi="Comic Sans MS"/>
          <w:sz w:val="22"/>
          <w:lang w:val="it-IT"/>
        </w:rPr>
        <w:t>rilev</w:t>
      </w:r>
      <w:r>
        <w:rPr>
          <w:rFonts w:ascii="Comic Sans MS" w:hAnsi="Comic Sans MS"/>
          <w:sz w:val="22"/>
          <w:lang w:val="it-IT"/>
        </w:rPr>
        <w:t>ato ch</w:t>
      </w:r>
      <w:r w:rsidR="00FF553E">
        <w:rPr>
          <w:rFonts w:ascii="Comic Sans MS" w:hAnsi="Comic Sans MS"/>
          <w:sz w:val="22"/>
          <w:lang w:val="it-IT"/>
        </w:rPr>
        <w:t xml:space="preserve">e l’azione del Governo </w:t>
      </w:r>
      <w:r>
        <w:rPr>
          <w:rFonts w:ascii="Comic Sans MS" w:hAnsi="Comic Sans MS"/>
          <w:sz w:val="22"/>
          <w:lang w:val="it-IT"/>
        </w:rPr>
        <w:t>si svol</w:t>
      </w:r>
      <w:r w:rsidR="007520BE">
        <w:rPr>
          <w:rFonts w:ascii="Comic Sans MS" w:hAnsi="Comic Sans MS"/>
          <w:sz w:val="22"/>
          <w:lang w:val="it-IT"/>
        </w:rPr>
        <w:t>ge</w:t>
      </w:r>
      <w:r>
        <w:rPr>
          <w:rFonts w:ascii="Comic Sans MS" w:hAnsi="Comic Sans MS"/>
          <w:sz w:val="22"/>
          <w:lang w:val="it-IT"/>
        </w:rPr>
        <w:t xml:space="preserve"> in sinergia con le altre Amministrazioni dello Stato, di volta in volta coinvolte nell’esecuzione delle decisioni della Corte europea (in particolare Ministero Giustizia e Mef); una collaborazione che è andata progressivamente </w:t>
      </w:r>
      <w:r w:rsidR="00B27B63">
        <w:rPr>
          <w:rFonts w:ascii="Comic Sans MS" w:hAnsi="Comic Sans MS"/>
          <w:sz w:val="22"/>
          <w:lang w:val="it-IT"/>
        </w:rPr>
        <w:t>migliorando</w:t>
      </w:r>
      <w:r>
        <w:rPr>
          <w:rFonts w:ascii="Comic Sans MS" w:hAnsi="Comic Sans MS"/>
          <w:sz w:val="22"/>
          <w:lang w:val="it-IT"/>
        </w:rPr>
        <w:t>, soprattutto nei casi in cui i singoli dicasteri si sono avvalsi di personale con specifica competenza e formazione nel settore.</w:t>
      </w:r>
    </w:p>
    <w:p w:rsidR="007650CD" w:rsidRDefault="007650CD" w:rsidP="007650CD">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Positiva è risultata anche l’azione di coordinamento </w:t>
      </w:r>
      <w:r w:rsidR="008412D1">
        <w:rPr>
          <w:rFonts w:ascii="Comic Sans MS" w:hAnsi="Comic Sans MS"/>
          <w:sz w:val="22"/>
          <w:lang w:val="it-IT"/>
        </w:rPr>
        <w:t>posta in essere, nei</w:t>
      </w:r>
      <w:r>
        <w:rPr>
          <w:rFonts w:ascii="Comic Sans MS" w:hAnsi="Comic Sans MS"/>
          <w:sz w:val="22"/>
          <w:lang w:val="it-IT"/>
        </w:rPr>
        <w:t xml:space="preserve"> casi </w:t>
      </w:r>
      <w:r w:rsidR="008412D1">
        <w:rPr>
          <w:rFonts w:ascii="Comic Sans MS" w:hAnsi="Comic Sans MS"/>
          <w:sz w:val="22"/>
          <w:lang w:val="it-IT"/>
        </w:rPr>
        <w:t xml:space="preserve">più </w:t>
      </w:r>
      <w:r>
        <w:rPr>
          <w:rFonts w:ascii="Comic Sans MS" w:hAnsi="Comic Sans MS"/>
          <w:sz w:val="22"/>
          <w:lang w:val="it-IT"/>
        </w:rPr>
        <w:t>complessi</w:t>
      </w:r>
      <w:r w:rsidR="008412D1">
        <w:rPr>
          <w:rFonts w:ascii="Comic Sans MS" w:hAnsi="Comic Sans MS"/>
          <w:sz w:val="22"/>
          <w:lang w:val="it-IT"/>
        </w:rPr>
        <w:t>,</w:t>
      </w:r>
      <w:r>
        <w:rPr>
          <w:rFonts w:ascii="Comic Sans MS" w:hAnsi="Comic Sans MS"/>
          <w:sz w:val="22"/>
          <w:lang w:val="it-IT"/>
        </w:rPr>
        <w:t xml:space="preserve"> dall’Ufficio dell’Agente del Governo presso la Rappresentanza permanente italiana dinanzi al Consiglio d’Europa, che ha dato i suoi frutti soprattutto con riferimento alle proposte di regolamento amichevole.</w:t>
      </w:r>
    </w:p>
    <w:p w:rsidR="003122EA" w:rsidRDefault="00412C4B"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I</w:t>
      </w:r>
      <w:r w:rsidR="00B867E6">
        <w:rPr>
          <w:rFonts w:ascii="Comic Sans MS" w:hAnsi="Comic Sans MS"/>
          <w:sz w:val="22"/>
          <w:lang w:val="it-IT"/>
        </w:rPr>
        <w:t xml:space="preserve"> problemi strutturali come l’eccessiva durata dei procedimenti giudiziari e </w:t>
      </w:r>
      <w:r>
        <w:rPr>
          <w:rFonts w:ascii="Comic Sans MS" w:hAnsi="Comic Sans MS"/>
          <w:sz w:val="22"/>
          <w:lang w:val="it-IT"/>
        </w:rPr>
        <w:t>i</w:t>
      </w:r>
      <w:r w:rsidR="00B867E6">
        <w:rPr>
          <w:rFonts w:ascii="Comic Sans MS" w:hAnsi="Comic Sans MS"/>
          <w:sz w:val="22"/>
          <w:lang w:val="it-IT"/>
        </w:rPr>
        <w:t xml:space="preserve">l sovraffollamento carcerario, </w:t>
      </w:r>
      <w:r>
        <w:rPr>
          <w:rFonts w:ascii="Comic Sans MS" w:hAnsi="Comic Sans MS"/>
          <w:sz w:val="22"/>
          <w:lang w:val="it-IT"/>
        </w:rPr>
        <w:t>a lungo segnalati e</w:t>
      </w:r>
      <w:r w:rsidR="00096B91">
        <w:rPr>
          <w:rFonts w:ascii="Comic Sans MS" w:hAnsi="Comic Sans MS"/>
          <w:sz w:val="22"/>
          <w:lang w:val="it-IT"/>
        </w:rPr>
        <w:t xml:space="preserve"> stigmatizzati</w:t>
      </w:r>
      <w:r>
        <w:rPr>
          <w:rFonts w:ascii="Comic Sans MS" w:hAnsi="Comic Sans MS"/>
          <w:sz w:val="22"/>
          <w:lang w:val="it-IT"/>
        </w:rPr>
        <w:t xml:space="preserve"> dalla Corte europea, hanno trovato una soluzione concreta</w:t>
      </w:r>
      <w:r w:rsidR="00B867E6">
        <w:rPr>
          <w:rFonts w:ascii="Comic Sans MS" w:hAnsi="Comic Sans MS"/>
          <w:sz w:val="22"/>
          <w:lang w:val="it-IT"/>
        </w:rPr>
        <w:t xml:space="preserve"> </w:t>
      </w:r>
      <w:r>
        <w:rPr>
          <w:rFonts w:ascii="Comic Sans MS" w:hAnsi="Comic Sans MS"/>
          <w:sz w:val="22"/>
          <w:lang w:val="it-IT"/>
        </w:rPr>
        <w:t xml:space="preserve">nell’azione </w:t>
      </w:r>
      <w:r w:rsidR="00F63DC3">
        <w:rPr>
          <w:rFonts w:ascii="Comic Sans MS" w:hAnsi="Comic Sans MS"/>
          <w:sz w:val="22"/>
          <w:lang w:val="it-IT"/>
        </w:rPr>
        <w:t>intrapresa</w:t>
      </w:r>
      <w:r>
        <w:rPr>
          <w:rFonts w:ascii="Comic Sans MS" w:hAnsi="Comic Sans MS"/>
          <w:sz w:val="22"/>
          <w:lang w:val="it-IT"/>
        </w:rPr>
        <w:t xml:space="preserve"> </w:t>
      </w:r>
      <w:r w:rsidR="003122EA">
        <w:rPr>
          <w:rFonts w:ascii="Comic Sans MS" w:hAnsi="Comic Sans MS"/>
          <w:sz w:val="22"/>
          <w:lang w:val="it-IT"/>
        </w:rPr>
        <w:t>d</w:t>
      </w:r>
      <w:r w:rsidR="00F63DC3">
        <w:rPr>
          <w:rFonts w:ascii="Comic Sans MS" w:hAnsi="Comic Sans MS"/>
          <w:sz w:val="22"/>
          <w:lang w:val="it-IT"/>
        </w:rPr>
        <w:t>a</w:t>
      </w:r>
      <w:r w:rsidR="003122EA">
        <w:rPr>
          <w:rFonts w:ascii="Comic Sans MS" w:hAnsi="Comic Sans MS"/>
          <w:sz w:val="22"/>
          <w:lang w:val="it-IT"/>
        </w:rPr>
        <w:t xml:space="preserve">l </w:t>
      </w:r>
      <w:r>
        <w:rPr>
          <w:rFonts w:ascii="Comic Sans MS" w:hAnsi="Comic Sans MS"/>
          <w:sz w:val="22"/>
          <w:lang w:val="it-IT"/>
        </w:rPr>
        <w:t xml:space="preserve">Governo, con una risposta che </w:t>
      </w:r>
      <w:r w:rsidR="003122EA">
        <w:rPr>
          <w:rFonts w:ascii="Comic Sans MS" w:hAnsi="Comic Sans MS"/>
          <w:sz w:val="22"/>
          <w:lang w:val="it-IT"/>
        </w:rPr>
        <w:t>è appar</w:t>
      </w:r>
      <w:r w:rsidR="00B867E6">
        <w:rPr>
          <w:rFonts w:ascii="Comic Sans MS" w:hAnsi="Comic Sans MS"/>
          <w:sz w:val="22"/>
          <w:lang w:val="it-IT"/>
        </w:rPr>
        <w:t>sa soddisfacente non solo sul piano interno</w:t>
      </w:r>
      <w:r w:rsidR="003122EA">
        <w:rPr>
          <w:rFonts w:ascii="Comic Sans MS" w:hAnsi="Comic Sans MS"/>
          <w:sz w:val="22"/>
          <w:lang w:val="it-IT"/>
        </w:rPr>
        <w:t>,</w:t>
      </w:r>
      <w:r w:rsidR="00B867E6">
        <w:rPr>
          <w:rFonts w:ascii="Comic Sans MS" w:hAnsi="Comic Sans MS"/>
          <w:sz w:val="22"/>
          <w:lang w:val="it-IT"/>
        </w:rPr>
        <w:t xml:space="preserve"> ma anche agli occhi della stessa Corte, che ha riconos</w:t>
      </w:r>
      <w:r>
        <w:rPr>
          <w:rFonts w:ascii="Comic Sans MS" w:hAnsi="Comic Sans MS"/>
          <w:sz w:val="22"/>
          <w:lang w:val="it-IT"/>
        </w:rPr>
        <w:t>ciuto pubblicamente gli sforzi posti in essere</w:t>
      </w:r>
      <w:r w:rsidR="00B867E6">
        <w:rPr>
          <w:rFonts w:ascii="Comic Sans MS" w:hAnsi="Comic Sans MS"/>
          <w:sz w:val="22"/>
          <w:lang w:val="it-IT"/>
        </w:rPr>
        <w:t xml:space="preserve"> dall’Italia per il riconoscimento dei principi affermati dalla Convenzione e per l’attuazione delle decisioni dei giudici di Strasburg</w:t>
      </w:r>
      <w:r w:rsidR="003122EA">
        <w:rPr>
          <w:rFonts w:ascii="Comic Sans MS" w:hAnsi="Comic Sans MS"/>
          <w:sz w:val="22"/>
          <w:lang w:val="it-IT"/>
        </w:rPr>
        <w:t>o.</w:t>
      </w:r>
    </w:p>
    <w:p w:rsidR="003122EA" w:rsidRDefault="003122EA"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Nell’ultimo Rapporto annuale del Comitato dei Ministri – presentato il 4.4.2018, con riferimento ai dati </w:t>
      </w:r>
      <w:r w:rsidR="00F43E5E">
        <w:rPr>
          <w:rFonts w:ascii="Comic Sans MS" w:hAnsi="Comic Sans MS"/>
          <w:sz w:val="22"/>
          <w:lang w:val="it-IT"/>
        </w:rPr>
        <w:t>del</w:t>
      </w:r>
      <w:r>
        <w:rPr>
          <w:rFonts w:ascii="Comic Sans MS" w:hAnsi="Comic Sans MS"/>
          <w:sz w:val="22"/>
          <w:lang w:val="it-IT"/>
        </w:rPr>
        <w:t>l’anno 2017 – è emersa non solo la complessiva riduzione dei casi pendenti (da circa 11.000 del 2014 a 7.584</w:t>
      </w:r>
      <w:r w:rsidR="00C003ED">
        <w:rPr>
          <w:rFonts w:ascii="Comic Sans MS" w:hAnsi="Comic Sans MS"/>
          <w:sz w:val="22"/>
          <w:lang w:val="it-IT"/>
        </w:rPr>
        <w:t>, di cui 389 nei confronti dell’Italia</w:t>
      </w:r>
      <w:r>
        <w:rPr>
          <w:rFonts w:ascii="Comic Sans MS" w:hAnsi="Comic Sans MS"/>
          <w:sz w:val="22"/>
          <w:lang w:val="it-IT"/>
        </w:rPr>
        <w:t xml:space="preserve">) ma, soprattutto, la positiva azione del Governo italiano, che nel 2017 ha ottenuto la chiusura di ben 2.001 casi (1.975 ripetitivi), risultando </w:t>
      </w:r>
      <w:r w:rsidR="00A05456">
        <w:rPr>
          <w:rFonts w:ascii="Comic Sans MS" w:hAnsi="Comic Sans MS"/>
          <w:sz w:val="22"/>
          <w:lang w:val="it-IT"/>
        </w:rPr>
        <w:t xml:space="preserve">il </w:t>
      </w:r>
      <w:r>
        <w:rPr>
          <w:rFonts w:ascii="Comic Sans MS" w:hAnsi="Comic Sans MS"/>
          <w:sz w:val="22"/>
          <w:lang w:val="it-IT"/>
        </w:rPr>
        <w:t>primo tra gli Stati membri del Consiglio d’Europa.</w:t>
      </w:r>
    </w:p>
    <w:p w:rsidR="00CE22C3" w:rsidRDefault="00CE22C3" w:rsidP="00D37310">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Combinando il dato fornito dal Comitato dei Ministri con la consistente riduzione dei ricorsi pendenti dinanzi alla Corte, emerge un </w:t>
      </w:r>
      <w:r w:rsidRPr="00CE22C3">
        <w:rPr>
          <w:rFonts w:ascii="Comic Sans MS" w:hAnsi="Comic Sans MS"/>
          <w:i/>
          <w:sz w:val="22"/>
          <w:lang w:val="it-IT"/>
        </w:rPr>
        <w:t>trend</w:t>
      </w:r>
      <w:r>
        <w:rPr>
          <w:rFonts w:ascii="Comic Sans MS" w:hAnsi="Comic Sans MS"/>
          <w:sz w:val="22"/>
          <w:lang w:val="it-IT"/>
        </w:rPr>
        <w:t xml:space="preserve"> assai positivo </w:t>
      </w:r>
      <w:r w:rsidR="003122EA">
        <w:rPr>
          <w:rFonts w:ascii="Comic Sans MS" w:hAnsi="Comic Sans MS"/>
          <w:sz w:val="22"/>
          <w:lang w:val="it-IT"/>
        </w:rPr>
        <w:t>del</w:t>
      </w:r>
      <w:r>
        <w:rPr>
          <w:rFonts w:ascii="Comic Sans MS" w:hAnsi="Comic Sans MS"/>
          <w:sz w:val="22"/>
          <w:lang w:val="it-IT"/>
        </w:rPr>
        <w:t>la posizione itali</w:t>
      </w:r>
      <w:r w:rsidR="00121B87">
        <w:rPr>
          <w:rFonts w:ascii="Comic Sans MS" w:hAnsi="Comic Sans MS"/>
          <w:sz w:val="22"/>
          <w:lang w:val="it-IT"/>
        </w:rPr>
        <w:t>ana</w:t>
      </w:r>
      <w:r>
        <w:rPr>
          <w:rFonts w:ascii="Comic Sans MS" w:hAnsi="Comic Sans MS"/>
          <w:sz w:val="22"/>
          <w:lang w:val="it-IT"/>
        </w:rPr>
        <w:t>.</w:t>
      </w:r>
    </w:p>
    <w:p w:rsidR="00121B87" w:rsidRDefault="00121B87" w:rsidP="00121B87">
      <w:pPr>
        <w:widowControl w:val="0"/>
        <w:autoSpaceDE w:val="0"/>
        <w:autoSpaceDN w:val="0"/>
        <w:adjustRightInd w:val="0"/>
        <w:jc w:val="both"/>
        <w:rPr>
          <w:rFonts w:ascii="Comic Sans MS" w:hAnsi="Comic Sans MS"/>
          <w:sz w:val="22"/>
          <w:lang w:val="it-IT"/>
        </w:rPr>
      </w:pPr>
      <w:r>
        <w:rPr>
          <w:rFonts w:ascii="Comic Sans MS" w:hAnsi="Comic Sans MS"/>
          <w:sz w:val="22"/>
          <w:lang w:val="it-IT"/>
        </w:rPr>
        <w:t xml:space="preserve">Può, pertanto, fondatamente </w:t>
      </w:r>
      <w:r w:rsidR="00392F51">
        <w:rPr>
          <w:rFonts w:ascii="Comic Sans MS" w:hAnsi="Comic Sans MS"/>
          <w:sz w:val="22"/>
          <w:lang w:val="it-IT"/>
        </w:rPr>
        <w:t>rite</w:t>
      </w:r>
      <w:r>
        <w:rPr>
          <w:rFonts w:ascii="Comic Sans MS" w:hAnsi="Comic Sans MS"/>
          <w:sz w:val="22"/>
          <w:lang w:val="it-IT"/>
        </w:rPr>
        <w:t xml:space="preserve">nersi che il modello adottato nel 2006 </w:t>
      </w:r>
      <w:r w:rsidR="007650CD">
        <w:rPr>
          <w:rFonts w:ascii="Comic Sans MS" w:hAnsi="Comic Sans MS"/>
          <w:sz w:val="22"/>
          <w:lang w:val="it-IT"/>
        </w:rPr>
        <w:t>stia</w:t>
      </w:r>
      <w:r>
        <w:rPr>
          <w:rFonts w:ascii="Comic Sans MS" w:hAnsi="Comic Sans MS"/>
          <w:sz w:val="22"/>
          <w:lang w:val="it-IT"/>
        </w:rPr>
        <w:t xml:space="preserve"> forn</w:t>
      </w:r>
      <w:r w:rsidR="007650CD">
        <w:rPr>
          <w:rFonts w:ascii="Comic Sans MS" w:hAnsi="Comic Sans MS"/>
          <w:sz w:val="22"/>
          <w:lang w:val="it-IT"/>
        </w:rPr>
        <w:t>endo</w:t>
      </w:r>
      <w:r>
        <w:rPr>
          <w:rFonts w:ascii="Comic Sans MS" w:hAnsi="Comic Sans MS"/>
          <w:sz w:val="22"/>
          <w:lang w:val="it-IT"/>
        </w:rPr>
        <w:t xml:space="preserve"> ottimi riscontri sia sul fronte della diminuzione del contenzioso seriale, che su quello della corretta esecuzione delle pronunce della Corte europea.</w:t>
      </w:r>
    </w:p>
    <w:p w:rsidR="005E44DD" w:rsidRDefault="00F63DC3" w:rsidP="00B706D2">
      <w:pPr>
        <w:widowControl w:val="0"/>
        <w:autoSpaceDE w:val="0"/>
        <w:autoSpaceDN w:val="0"/>
        <w:adjustRightInd w:val="0"/>
        <w:jc w:val="both"/>
        <w:rPr>
          <w:rFonts w:ascii="Comic Sans MS" w:hAnsi="Comic Sans MS"/>
          <w:sz w:val="22"/>
          <w:lang w:val="it-IT"/>
        </w:rPr>
      </w:pPr>
      <w:r>
        <w:rPr>
          <w:rFonts w:ascii="Comic Sans MS" w:hAnsi="Comic Sans MS"/>
          <w:sz w:val="22"/>
          <w:lang w:val="it-IT"/>
        </w:rPr>
        <w:tab/>
      </w:r>
    </w:p>
    <w:p w:rsidR="005E44DD" w:rsidRDefault="005E44DD" w:rsidP="00B706D2">
      <w:pPr>
        <w:widowControl w:val="0"/>
        <w:autoSpaceDE w:val="0"/>
        <w:autoSpaceDN w:val="0"/>
        <w:adjustRightInd w:val="0"/>
        <w:jc w:val="both"/>
        <w:rPr>
          <w:rFonts w:ascii="Comic Sans MS" w:hAnsi="Comic Sans MS"/>
          <w:sz w:val="22"/>
          <w:lang w:val="it-IT"/>
        </w:rPr>
      </w:pPr>
    </w:p>
    <w:p w:rsidR="00B706D2" w:rsidRPr="000E478A" w:rsidRDefault="005E44DD" w:rsidP="00B706D2">
      <w:pPr>
        <w:widowControl w:val="0"/>
        <w:autoSpaceDE w:val="0"/>
        <w:autoSpaceDN w:val="0"/>
        <w:adjustRightInd w:val="0"/>
        <w:jc w:val="both"/>
        <w:rPr>
          <w:rFonts w:ascii="Comic Sans MS" w:hAnsi="Comic Sans MS"/>
          <w:sz w:val="22"/>
          <w:lang w:val="it-IT"/>
        </w:rPr>
      </w:pPr>
      <w:r>
        <w:rPr>
          <w:rFonts w:ascii="Comic Sans MS" w:hAnsi="Comic Sans MS"/>
          <w:sz w:val="22"/>
          <w:lang w:val="it-IT"/>
        </w:rPr>
        <w:tab/>
      </w:r>
      <w:r>
        <w:rPr>
          <w:rFonts w:ascii="Comic Sans MS" w:hAnsi="Comic Sans MS"/>
          <w:sz w:val="22"/>
          <w:lang w:val="it-IT"/>
        </w:rPr>
        <w:tab/>
      </w:r>
      <w:r>
        <w:rPr>
          <w:rFonts w:ascii="Comic Sans MS" w:hAnsi="Comic Sans MS"/>
          <w:sz w:val="22"/>
          <w:lang w:val="it-IT"/>
        </w:rPr>
        <w:tab/>
      </w:r>
      <w:r>
        <w:rPr>
          <w:rFonts w:ascii="Comic Sans MS" w:hAnsi="Comic Sans MS"/>
          <w:sz w:val="22"/>
          <w:lang w:val="it-IT"/>
        </w:rPr>
        <w:tab/>
      </w:r>
      <w:r>
        <w:rPr>
          <w:rFonts w:ascii="Comic Sans MS" w:hAnsi="Comic Sans MS"/>
          <w:sz w:val="22"/>
          <w:lang w:val="it-IT"/>
        </w:rPr>
        <w:tab/>
      </w:r>
      <w:r>
        <w:rPr>
          <w:rFonts w:ascii="Comic Sans MS" w:hAnsi="Comic Sans MS"/>
          <w:sz w:val="22"/>
          <w:lang w:val="it-IT"/>
        </w:rPr>
        <w:tab/>
      </w:r>
      <w:bookmarkStart w:id="0" w:name="_GoBack"/>
      <w:bookmarkEnd w:id="0"/>
      <w:r>
        <w:rPr>
          <w:rFonts w:ascii="Comic Sans MS" w:hAnsi="Comic Sans MS"/>
          <w:sz w:val="22"/>
          <w:lang w:val="it-IT"/>
        </w:rPr>
        <w:tab/>
      </w:r>
      <w:r>
        <w:rPr>
          <w:rFonts w:ascii="Comic Sans MS" w:hAnsi="Comic Sans MS"/>
          <w:sz w:val="22"/>
          <w:lang w:val="it-IT"/>
        </w:rPr>
        <w:tab/>
        <w:t>Galileo D’Agostino</w:t>
      </w:r>
    </w:p>
    <w:sectPr w:rsidR="00B706D2" w:rsidRPr="000E478A" w:rsidSect="00024CC7">
      <w:footerReference w:type="even" r:id="rId7"/>
      <w:footerReference w:type="default" r:id="rId8"/>
      <w:pgSz w:w="11900" w:h="16840"/>
      <w:pgMar w:top="1417" w:right="1701" w:bottom="1417" w:left="1701"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2C2" w:rsidRDefault="000D52C2">
      <w:r>
        <w:separator/>
      </w:r>
    </w:p>
  </w:endnote>
  <w:endnote w:type="continuationSeparator" w:id="0">
    <w:p w:rsidR="000D52C2" w:rsidRDefault="000D52C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¹Å">
    <w:altName w:val="ＭＳ 明朝"/>
    <w:charset w:val="80"/>
    <w:family w:val="auto"/>
    <w:pitch w:val="variable"/>
    <w:sig w:usb0="00000000" w:usb1="00000000" w:usb2="00000000" w:usb3="00000000" w:csb0="00000000" w:csb1="00000000"/>
  </w:font>
  <w:font w:name="Book Antiqua">
    <w:altName w:val="Book Antiqua"/>
    <w:panose1 w:val="020406020503050303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Comic Sans MS">
    <w:panose1 w:val="030F0702030302020204"/>
    <w:charset w:val="00"/>
    <w:family w:val="auto"/>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C2" w:rsidRDefault="00E941CE" w:rsidP="00024CC7">
    <w:pPr>
      <w:pStyle w:val="Piedepgina"/>
      <w:framePr w:wrap="around" w:vAnchor="text" w:hAnchor="margin" w:xAlign="center" w:y="1"/>
      <w:rPr>
        <w:rStyle w:val="Nmerodepgina"/>
      </w:rPr>
    </w:pPr>
    <w:r>
      <w:rPr>
        <w:rStyle w:val="Nmerodepgina"/>
      </w:rPr>
      <w:fldChar w:fldCharType="begin"/>
    </w:r>
    <w:r w:rsidR="000D52C2">
      <w:rPr>
        <w:rStyle w:val="Nmerodepgina"/>
      </w:rPr>
      <w:instrText xml:space="preserve">PAGE  </w:instrText>
    </w:r>
    <w:r>
      <w:rPr>
        <w:rStyle w:val="Nmerodepgina"/>
      </w:rPr>
      <w:fldChar w:fldCharType="end"/>
    </w:r>
  </w:p>
  <w:p w:rsidR="000D52C2" w:rsidRDefault="000D52C2">
    <w:pPr>
      <w:pStyle w:val="Piedepgina"/>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C2" w:rsidRDefault="00E941CE" w:rsidP="00024CC7">
    <w:pPr>
      <w:pStyle w:val="Piedepgina"/>
      <w:framePr w:wrap="around" w:vAnchor="text" w:hAnchor="margin" w:xAlign="center" w:y="1"/>
      <w:rPr>
        <w:rStyle w:val="Nmerodepgina"/>
      </w:rPr>
    </w:pPr>
    <w:r>
      <w:rPr>
        <w:rStyle w:val="Nmerodepgina"/>
      </w:rPr>
      <w:fldChar w:fldCharType="begin"/>
    </w:r>
    <w:r w:rsidR="000D52C2">
      <w:rPr>
        <w:rStyle w:val="Nmerodepgina"/>
      </w:rPr>
      <w:instrText xml:space="preserve">PAGE  </w:instrText>
    </w:r>
    <w:r>
      <w:rPr>
        <w:rStyle w:val="Nmerodepgina"/>
      </w:rPr>
      <w:fldChar w:fldCharType="separate"/>
    </w:r>
    <w:r w:rsidR="00482150">
      <w:rPr>
        <w:rStyle w:val="Nmerodepgina"/>
        <w:noProof/>
      </w:rPr>
      <w:t>13</w:t>
    </w:r>
    <w:r>
      <w:rPr>
        <w:rStyle w:val="Nmerodepgina"/>
      </w:rPr>
      <w:fldChar w:fldCharType="end"/>
    </w:r>
  </w:p>
  <w:p w:rsidR="000D52C2" w:rsidRDefault="000D52C2">
    <w:pPr>
      <w:pStyle w:val="Piedep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2C2" w:rsidRDefault="000D52C2">
      <w:r>
        <w:separator/>
      </w:r>
    </w:p>
  </w:footnote>
  <w:footnote w:type="continuationSeparator" w:id="0">
    <w:p w:rsidR="000D52C2" w:rsidRDefault="000D52C2">
      <w:r>
        <w:continuationSeparator/>
      </w:r>
    </w:p>
  </w:footnote>
  <w:footnote w:id="1">
    <w:p w:rsidR="000D52C2" w:rsidRPr="00CE600C" w:rsidRDefault="000D52C2" w:rsidP="009813F9">
      <w:pPr>
        <w:pStyle w:val="Textonotapie"/>
        <w:jc w:val="both"/>
        <w:rPr>
          <w:rFonts w:ascii="Comic Sans MS" w:hAnsi="Comic Sans MS"/>
          <w:sz w:val="18"/>
          <w:lang w:val="it-IT"/>
        </w:rPr>
      </w:pPr>
      <w:r>
        <w:rPr>
          <w:rStyle w:val="Refdenotaalpie"/>
        </w:rPr>
        <w:footnoteRef/>
      </w:r>
      <w:r>
        <w:t xml:space="preserve"> </w:t>
      </w:r>
      <w:r w:rsidRPr="00CE600C">
        <w:rPr>
          <w:rFonts w:ascii="Comic Sans MS" w:hAnsi="Comic Sans MS"/>
          <w:sz w:val="18"/>
          <w:lang w:val="it-IT"/>
        </w:rPr>
        <w:t>Si vedano le sentenze</w:t>
      </w:r>
      <w:r w:rsidRPr="001B4FA7">
        <w:rPr>
          <w:rFonts w:ascii="Comic Sans MS" w:hAnsi="Comic Sans MS"/>
          <w:i/>
          <w:sz w:val="18"/>
          <w:lang w:val="it-IT"/>
        </w:rPr>
        <w:t xml:space="preserve"> Villa c/ Italia </w:t>
      </w:r>
      <w:r w:rsidRPr="00CE600C">
        <w:rPr>
          <w:rFonts w:ascii="Comic Sans MS" w:hAnsi="Comic Sans MS"/>
          <w:sz w:val="18"/>
          <w:lang w:val="it-IT"/>
        </w:rPr>
        <w:t>del 20.4.2010 e</w:t>
      </w:r>
      <w:r w:rsidRPr="001B4FA7">
        <w:rPr>
          <w:rFonts w:ascii="Comic Sans MS" w:hAnsi="Comic Sans MS"/>
          <w:i/>
          <w:sz w:val="18"/>
          <w:lang w:val="it-IT"/>
        </w:rPr>
        <w:t xml:space="preserve"> Giorgioni c/ Italia </w:t>
      </w:r>
      <w:r w:rsidRPr="00CE600C">
        <w:rPr>
          <w:rFonts w:ascii="Comic Sans MS" w:hAnsi="Comic Sans MS"/>
          <w:sz w:val="18"/>
          <w:lang w:val="it-IT"/>
        </w:rPr>
        <w:t>del 15.9.2016.</w:t>
      </w:r>
      <w:r w:rsidRPr="001B4FA7">
        <w:rPr>
          <w:rFonts w:ascii="Comic Sans MS" w:hAnsi="Comic Sans MS"/>
          <w:i/>
          <w:sz w:val="18"/>
          <w:lang w:val="it-IT"/>
        </w:rPr>
        <w:t xml:space="preserve"> </w:t>
      </w:r>
      <w:r w:rsidRPr="00CE600C">
        <w:rPr>
          <w:rFonts w:ascii="Comic Sans MS" w:hAnsi="Comic Sans MS"/>
          <w:sz w:val="18"/>
          <w:lang w:val="it-IT"/>
        </w:rPr>
        <w:t xml:space="preserve">In entrambi i casi, la Corte ha ritenuto che la constatazione della violazione costituisse equa soddisfazione sufficiente a titolo di danno morale. Di tali decisioni è stata data diffusione nei modi sopra indicati e, tramite una nota del Ministero della Giustizia, a tutti gli Uffici giudiziari. </w:t>
      </w:r>
    </w:p>
  </w:footnote>
  <w:footnote w:id="2">
    <w:p w:rsidR="000D52C2" w:rsidRPr="00CE600C" w:rsidRDefault="000D52C2" w:rsidP="00172394">
      <w:pPr>
        <w:jc w:val="both"/>
        <w:rPr>
          <w:rFonts w:ascii="Comic Sans MS" w:hAnsi="Comic Sans MS"/>
          <w:sz w:val="18"/>
          <w:lang w:val="it-IT"/>
        </w:rPr>
      </w:pPr>
      <w:r w:rsidRPr="00CE600C">
        <w:rPr>
          <w:rStyle w:val="Refdenotaalpie"/>
        </w:rPr>
        <w:footnoteRef/>
      </w:r>
      <w:r w:rsidRPr="00CE600C">
        <w:t xml:space="preserve"> </w:t>
      </w:r>
      <w:r w:rsidRPr="00CE600C">
        <w:rPr>
          <w:rFonts w:ascii="Comic Sans MS" w:hAnsi="Comic Sans MS"/>
          <w:i/>
          <w:sz w:val="18"/>
          <w:lang w:val="it-IT"/>
        </w:rPr>
        <w:t>Anghel</w:t>
      </w:r>
      <w:r w:rsidRPr="00CE600C">
        <w:rPr>
          <w:rFonts w:ascii="Comic Sans MS" w:hAnsi="Comic Sans MS"/>
          <w:sz w:val="18"/>
          <w:lang w:val="it-IT"/>
        </w:rPr>
        <w:t>, cittadino rumeno, aveva adito la giustizia del suo paese per ottenere – ai sensi dell’art. 7 della Convenzione de L’Aia del 1980 - che il proprio figlio minore fosse riportato in patria dall’Italia,</w:t>
      </w:r>
      <w:r w:rsidRPr="001B4FA7">
        <w:rPr>
          <w:rFonts w:ascii="Comic Sans MS" w:hAnsi="Comic Sans MS"/>
          <w:i/>
          <w:sz w:val="18"/>
          <w:lang w:val="it-IT"/>
        </w:rPr>
        <w:t xml:space="preserve"> </w:t>
      </w:r>
      <w:r w:rsidRPr="00CE600C">
        <w:rPr>
          <w:rFonts w:ascii="Comic Sans MS" w:hAnsi="Comic Sans MS"/>
          <w:sz w:val="18"/>
          <w:lang w:val="it-IT"/>
        </w:rPr>
        <w:t>dove lo aveva condotto la madre. Il Tribunale di Bologna aveva respinto la sua domanda e Anghel, avuta conoscenza del provvedimento, per il tramite del Ministero della Giustizia rumeno, aveva chiesto alle autorità italiane le necessarie informazioni sui mezzi di impugnazione esperibili contro la predetta decisione e sulla possibilità di avvalersi del patrocinio a spese dello Stato; ottenute le informazioni, aveva quindi richiesto l’assistenza di un difensore per proporre ricorso per Cassazione. Il primo difensore individuato dallo stesso ricorrente nell’ambito dell’elenco fornitogli dal Consiglio dell’ordine, aveva impiegato sei settimane per visionare il fascicolo e comunicato poi, dopo altre due settimane, all’Anghel di non poter patrocinare dinanzi alla Corte di Cassazione. Il ricorrente aveva dovuto, quindi, scegliere un nuovo difensore da un nuovo elenco trasmessogli dal Consiglio</w:t>
      </w:r>
      <w:r w:rsidRPr="00CE600C">
        <w:rPr>
          <w:rFonts w:ascii="Comic Sans MS" w:hAnsi="Comic Sans MS"/>
          <w:sz w:val="18"/>
        </w:rPr>
        <w:t xml:space="preserve"> </w:t>
      </w:r>
      <w:r w:rsidRPr="00CE600C">
        <w:rPr>
          <w:rFonts w:ascii="Comic Sans MS" w:hAnsi="Comic Sans MS"/>
          <w:sz w:val="18"/>
          <w:lang w:val="it-IT"/>
        </w:rPr>
        <w:t>dell’Ordine. Il secondo difensore individuato, erroneamente, aveva ritenuto che il termine per proporre ricorso fosse spirato, quando in realtà vi erano ancora due settimane utili. Ciò aveva determinato, di fatto, la mancata impugnazione della decisione del Tribunale dei Minorenni di Bologna sfavorevole al ricorrente.</w:t>
      </w:r>
      <w:r w:rsidRPr="00CE600C">
        <w:rPr>
          <w:rFonts w:ascii="Comic Sans MS" w:hAnsi="Comic Sans MS"/>
          <w:sz w:val="18"/>
        </w:rPr>
        <w:t xml:space="preserve"> </w:t>
      </w:r>
      <w:r w:rsidRPr="00CE600C">
        <w:rPr>
          <w:rFonts w:ascii="Comic Sans MS" w:hAnsi="Comic Sans MS"/>
          <w:sz w:val="18"/>
          <w:lang w:val="it-IT"/>
        </w:rPr>
        <w:t>La Corte ha concluso, affermando, da un lato, che le informazioni lacunose e contraddittorie date dai due attori del sistema del gratuito patrocinio e, segnatamente, dal Consiglio dell’Ordine degli Avvocati e dal Ministero della Giustizia, riguardo al mezzo d’impugnazione esperibile e ai tempi per proporlo, avessero sostanzialmente contribuito al fallimento del tentativo di proporre ricorso da parte del ricorrente; dall’altro, che la consulenza dei due avvocati nominati in virtù del gratuito patrocinio, che avevano dato entrambi informazioni errate sui termini applicabili - uno addirittura informando il ricorrente che non poteva più proporre ricorso - costituisse un errore manifesto che, nel caso di specie, si è rivelato fatale per l’esperibilità del mezzo di impugnazione da parte del ricorrente.</w:t>
      </w:r>
    </w:p>
    <w:p w:rsidR="000D52C2" w:rsidRPr="00CE600C" w:rsidRDefault="000D52C2" w:rsidP="00196F3B">
      <w:pPr>
        <w:ind w:firstLine="708"/>
        <w:jc w:val="both"/>
        <w:rPr>
          <w:rFonts w:ascii="Comic Sans MS" w:hAnsi="Comic Sans MS"/>
          <w:sz w:val="20"/>
          <w:lang w:val="it-IT"/>
        </w:rPr>
      </w:pPr>
    </w:p>
    <w:p w:rsidR="000D52C2" w:rsidRPr="004652AF" w:rsidRDefault="000D52C2" w:rsidP="00196F3B">
      <w:pPr>
        <w:pStyle w:val="Textonotapie"/>
        <w:jc w:val="both"/>
        <w:rPr>
          <w:rFonts w:ascii="Comic Sans MS" w:hAnsi="Comic Sans MS"/>
          <w:i/>
          <w:sz w:val="20"/>
          <w:lang w:val="it-IT"/>
        </w:rPr>
      </w:pPr>
      <w:r w:rsidRPr="004652AF">
        <w:rPr>
          <w:rFonts w:ascii="Comic Sans MS" w:hAnsi="Comic Sans MS"/>
          <w:i/>
          <w:sz w:val="20"/>
          <w:lang w:val="it-IT"/>
        </w:rPr>
        <w:t xml:space="preserve">  </w:t>
      </w:r>
    </w:p>
  </w:footnote>
  <w:footnote w:id="3">
    <w:p w:rsidR="000D52C2" w:rsidRPr="00CE600C" w:rsidRDefault="000D52C2" w:rsidP="00E075C8">
      <w:pPr>
        <w:pStyle w:val="Textonotapie"/>
        <w:jc w:val="both"/>
        <w:rPr>
          <w:rFonts w:ascii="Comic Sans MS" w:hAnsi="Comic Sans MS"/>
          <w:sz w:val="18"/>
          <w:lang w:val="it-IT"/>
        </w:rPr>
      </w:pPr>
      <w:r>
        <w:rPr>
          <w:rStyle w:val="Refdenotaalpie"/>
        </w:rPr>
        <w:footnoteRef/>
      </w:r>
      <w:r>
        <w:t xml:space="preserve"> </w:t>
      </w:r>
      <w:r w:rsidRPr="00CE600C">
        <w:rPr>
          <w:rFonts w:ascii="Comic Sans MS" w:hAnsi="Comic Sans MS"/>
          <w:sz w:val="18"/>
          <w:lang w:val="it-IT"/>
        </w:rPr>
        <w:t>La dottrina prevalente individua tre presupposti per</w:t>
      </w:r>
      <w:r w:rsidRPr="00CE600C">
        <w:rPr>
          <w:sz w:val="18"/>
          <w:lang w:val="it-IT"/>
        </w:rPr>
        <w:t xml:space="preserve"> </w:t>
      </w:r>
      <w:r w:rsidRPr="00CE600C">
        <w:rPr>
          <w:rFonts w:ascii="Comic Sans MS" w:hAnsi="Comic Sans MS"/>
          <w:sz w:val="18"/>
          <w:lang w:val="it-IT"/>
        </w:rPr>
        <w:t xml:space="preserve">l’esistenza della sentenza pilota: la dichiarazione esplicita della Corte di avvalersi di tale procedura; l’identificazione di una violazione strutturale della Convenzione insita nell’ordinamento giuridico dello Stato e l’espressa indicazione di misure generali idonee a risolvere il problema. </w:t>
      </w:r>
    </w:p>
  </w:footnote>
  <w:footnote w:id="4">
    <w:p w:rsidR="000D52C2" w:rsidRPr="001B4FA7" w:rsidRDefault="000D52C2" w:rsidP="00432773">
      <w:pPr>
        <w:pStyle w:val="Textonotapie"/>
        <w:jc w:val="both"/>
        <w:rPr>
          <w:sz w:val="18"/>
        </w:rPr>
      </w:pPr>
      <w:r>
        <w:rPr>
          <w:rStyle w:val="Refdenotaalpie"/>
        </w:rPr>
        <w:footnoteRef/>
      </w:r>
      <w:r>
        <w:t xml:space="preserve"> </w:t>
      </w:r>
      <w:r w:rsidRPr="001B4FA7">
        <w:rPr>
          <w:rFonts w:ascii="Comic Sans MS" w:hAnsi="Comic Sans MS"/>
          <w:i/>
          <w:sz w:val="18"/>
          <w:lang w:val="it-IT"/>
        </w:rPr>
        <w:t xml:space="preserve">Cestaro c/ Italia del 7.4.2015; Bartesaghi-Gallo e altri c/ Italia del 22.6.2017; Azzolina e altri c/ Italia e Blair e altri c/ Italia del 26.10.2017. </w:t>
      </w:r>
    </w:p>
  </w:footnote>
  <w:footnote w:id="5">
    <w:p w:rsidR="000D52C2" w:rsidRPr="00CE600C" w:rsidRDefault="000D52C2" w:rsidP="003173A9">
      <w:pPr>
        <w:pStyle w:val="Textonotapie"/>
        <w:jc w:val="both"/>
      </w:pPr>
      <w:r>
        <w:rPr>
          <w:rStyle w:val="Refdenotaalpie"/>
        </w:rPr>
        <w:footnoteRef/>
      </w:r>
      <w:r>
        <w:t xml:space="preserve"> </w:t>
      </w:r>
      <w:r w:rsidRPr="00CE600C">
        <w:rPr>
          <w:rFonts w:ascii="Comic Sans MS" w:hAnsi="Comic Sans MS"/>
          <w:sz w:val="18"/>
          <w:lang w:val="it-IT"/>
        </w:rPr>
        <w:t>In concreto, in tali decisioni – a differenze della sentenze pilota - i giudici europei evitano il riferimento all’espressione “pilota” e fanno menzione solo nella parte motiva della necessità di risolvere il problema strutturale, omettendo alcun riferimento a questo nel dispositivo.</w:t>
      </w:r>
      <w:r w:rsidRPr="00CE600C">
        <w:rPr>
          <w:rFonts w:ascii="Comic Sans MS" w:hAnsi="Comic Sans MS"/>
          <w:sz w:val="20"/>
          <w:lang w:val="it-IT"/>
        </w:rPr>
        <w:tab/>
      </w:r>
      <w:r w:rsidRPr="00CE600C">
        <w:t xml:space="preserve"> </w:t>
      </w:r>
    </w:p>
  </w:footnote>
  <w:footnote w:id="6">
    <w:p w:rsidR="000D52C2" w:rsidRPr="00E97D32" w:rsidRDefault="000D52C2" w:rsidP="00E97D32">
      <w:pPr>
        <w:jc w:val="both"/>
        <w:rPr>
          <w:rFonts w:ascii="Comic Sans MS" w:hAnsi="Comic Sans MS"/>
          <w:sz w:val="18"/>
          <w:lang w:val="it-IT"/>
        </w:rPr>
      </w:pPr>
      <w:r>
        <w:rPr>
          <w:rStyle w:val="Refdenotaalpie"/>
        </w:rPr>
        <w:footnoteRef/>
      </w:r>
      <w:r>
        <w:t xml:space="preserve"> </w:t>
      </w:r>
      <w:r w:rsidRPr="00E97D32">
        <w:rPr>
          <w:rFonts w:ascii="Comic Sans MS" w:hAnsi="Comic Sans MS"/>
          <w:sz w:val="18"/>
          <w:lang w:val="it-IT"/>
        </w:rPr>
        <w:t xml:space="preserve">Nel caso di specie, i coniugi </w:t>
      </w:r>
      <w:r>
        <w:rPr>
          <w:rFonts w:ascii="Comic Sans MS" w:hAnsi="Comic Sans MS"/>
          <w:sz w:val="18"/>
          <w:lang w:val="it-IT"/>
        </w:rPr>
        <w:t xml:space="preserve">ricorrenti </w:t>
      </w:r>
      <w:r w:rsidRPr="00E97D32">
        <w:rPr>
          <w:rFonts w:ascii="Comic Sans MS" w:hAnsi="Comic Sans MS"/>
          <w:sz w:val="18"/>
          <w:lang w:val="it-IT"/>
        </w:rPr>
        <w:t xml:space="preserve">avevano dapprima richiesto all’ufficiale di stato civile l’attribuzione del cognome materno alla figlia, che aveva invece attribuito d’ufficio il cognome paterno. </w:t>
      </w:r>
      <w:r w:rsidRPr="00E97D32">
        <w:rPr>
          <w:rFonts w:ascii="Comic Sans MS" w:hAnsi="Comic Sans MS"/>
          <w:bCs/>
          <w:sz w:val="18"/>
          <w:lang w:val="it-IT"/>
        </w:rPr>
        <w:t>Il tribunale aveva poi respinto il ricorso dei genitori, ritenendo che la regola di attribuire il cognome del padre al bambino nato da una coppia sposata corrispondesse a un principio radicato nella coscienza sociale e nella storia italiana, anche se non consacrato in alcuna disposizione legale.</w:t>
      </w:r>
    </w:p>
    <w:p w:rsidR="000D52C2" w:rsidRPr="00E97D32" w:rsidRDefault="000D52C2" w:rsidP="00E97D32">
      <w:pPr>
        <w:jc w:val="both"/>
        <w:rPr>
          <w:rFonts w:ascii="Comic Sans MS" w:hAnsi="Comic Sans MS"/>
          <w:sz w:val="18"/>
          <w:lang w:val="it-IT"/>
        </w:rPr>
      </w:pPr>
      <w:r w:rsidRPr="00E97D32">
        <w:rPr>
          <w:rFonts w:ascii="Comic Sans MS" w:hAnsi="Comic Sans MS"/>
          <w:sz w:val="18"/>
          <w:lang w:val="it-IT"/>
        </w:rPr>
        <w:t xml:space="preserve">La Corte di Strasburgo </w:t>
      </w:r>
      <w:r w:rsidRPr="00E97D32">
        <w:rPr>
          <w:rFonts w:ascii="Comic Sans MS" w:hAnsi="Comic Sans MS"/>
          <w:bCs/>
          <w:sz w:val="18"/>
          <w:lang w:val="it-IT"/>
        </w:rPr>
        <w:t>ha ricordato preliminarmente che il nome è strumento per determinare sia l’identità personale sia la connessione della persona con una famiglia, ricollegandosi in tal modo la sua tutela anche al diritto al rispetto della vita privata e familiare della persona e ha considerato la possibile violazione del</w:t>
      </w:r>
      <w:r w:rsidRPr="00E97D32">
        <w:rPr>
          <w:rFonts w:ascii="Comic Sans MS" w:hAnsi="Comic Sans MS"/>
          <w:sz w:val="18"/>
          <w:lang w:val="it-IT"/>
        </w:rPr>
        <w:t xml:space="preserve"> diritto azionato dal punto di vista dell’art. 14 (Divieto di discriminazione) in combinazione con l’art. 8 della Convenzione.</w:t>
      </w:r>
    </w:p>
    <w:p w:rsidR="000D52C2" w:rsidRPr="00E97D32" w:rsidRDefault="000D52C2" w:rsidP="00E97D32">
      <w:pPr>
        <w:pStyle w:val="JuPara"/>
        <w:ind w:firstLine="0"/>
        <w:rPr>
          <w:rFonts w:ascii="Comic Sans MS" w:hAnsi="Comic Sans MS"/>
          <w:sz w:val="18"/>
          <w:lang w:val="it-IT"/>
        </w:rPr>
      </w:pPr>
      <w:r w:rsidRPr="00E97D32">
        <w:rPr>
          <w:rFonts w:ascii="Comic Sans MS" w:hAnsi="Comic Sans MS"/>
          <w:sz w:val="18"/>
          <w:lang w:val="it-IT"/>
        </w:rPr>
        <w:t>I giudici hanno quindi osservato che gli Stati membri della Convenzione godono di un certo margine di apprezzamento nello stabilire se e in quale misura differenze tra situazioni sotto altri aspetti analoghe giustifichino disparità di trattamento giuridico. “</w:t>
      </w:r>
      <w:r w:rsidRPr="00E97D32">
        <w:rPr>
          <w:rFonts w:ascii="Comic Sans MS" w:hAnsi="Comic Sans MS"/>
          <w:i/>
          <w:sz w:val="18"/>
          <w:lang w:val="it-IT"/>
        </w:rPr>
        <w:t>L’ampiezza di tale margine di apprezzamento varia a seconda delle circostanze, dei campi e del contesto ma la decisione finale in merito all’osservanza delle esigenze poste dalla Convenzione spetta alla Corte. La Convenzione è innanzitutto un meccanismo di tutela dei diritti dell’uomo, la Corte deve quindi tenere conto dell’evoluzione della situazione nello Stato convenuto e negli Stati contraenti in generale e reagire, ad esempio, al consenso suscettibile di manifestarsi quanto alle norme su cui intervenire</w:t>
      </w:r>
      <w:r w:rsidRPr="00E97D32">
        <w:rPr>
          <w:rFonts w:ascii="Comic Sans MS" w:hAnsi="Comic Sans MS"/>
          <w:sz w:val="18"/>
          <w:lang w:val="it-IT"/>
        </w:rPr>
        <w:t>”.</w:t>
      </w:r>
    </w:p>
    <w:p w:rsidR="000D52C2" w:rsidRPr="00E97D32" w:rsidRDefault="000D52C2" w:rsidP="00E97D32">
      <w:pPr>
        <w:jc w:val="both"/>
        <w:rPr>
          <w:rFonts w:ascii="Comic Sans MS" w:hAnsi="Comic Sans MS"/>
          <w:sz w:val="18"/>
          <w:lang w:val="it-IT"/>
        </w:rPr>
      </w:pPr>
      <w:r w:rsidRPr="00E97D32">
        <w:rPr>
          <w:rFonts w:ascii="Comic Sans MS" w:hAnsi="Comic Sans MS"/>
          <w:sz w:val="18"/>
          <w:lang w:val="it-IT"/>
        </w:rPr>
        <w:t>Nel merito, la Corte ha ritenuto che non sia stata osservata la parità di trattamento tra il padre e la madre del bambino nell’ambito della determinazione del cognome da attribuire al figlio legittimo; infatti, a differenza del padre, la madre non ha potuto ottenere l’attribuzione del suo cognome al neonato, e ciò nonostante il consenso del coniuge. La CEDU ha poi ricordato come la Corte Costituzionale e la Suprema Corte abbiano riconosciuto “</w:t>
      </w:r>
      <w:r w:rsidRPr="00E97D32">
        <w:rPr>
          <w:rFonts w:ascii="Comic Sans MS" w:hAnsi="Comic Sans MS"/>
          <w:i/>
          <w:sz w:val="18"/>
          <w:lang w:val="it-IT"/>
        </w:rPr>
        <w:t>che il sistema in vigore deriva da una concezione patriarcale della famiglia e della potestà maritale, che non è più compatibile con il principio costituzionale dell’eguaglianza tra uomo e donna”</w:t>
      </w:r>
      <w:r w:rsidRPr="00E97D32">
        <w:rPr>
          <w:rFonts w:ascii="Comic Sans MS" w:hAnsi="Comic Sans MS"/>
          <w:sz w:val="18"/>
          <w:lang w:val="it-IT"/>
        </w:rPr>
        <w:t xml:space="preserve">  e rilevato che “</w:t>
      </w:r>
      <w:r w:rsidRPr="00E97D32">
        <w:rPr>
          <w:rFonts w:ascii="Comic Sans MS" w:hAnsi="Comic Sans MS"/>
          <w:i/>
          <w:sz w:val="18"/>
          <w:lang w:val="it-IT"/>
        </w:rPr>
        <w:t>La regola secondo la quale il cognome del marito è attribuito ai «figli legittimi» può rivelarsi necessaria in pratica e non è necessariamente in contrasto con la Convenzione, tuttavia l’impossibilità di derogarvi al momento dell’iscrizione dei neonati nei registri di stato civile è eccessivamente rigida e discriminatoria nei confronti delle donne”.</w:t>
      </w:r>
      <w:r w:rsidRPr="00E97D32">
        <w:rPr>
          <w:rFonts w:ascii="Comic Sans MS" w:hAnsi="Comic Sans MS"/>
          <w:sz w:val="18"/>
          <w:lang w:val="it-IT"/>
        </w:rPr>
        <w:t xml:space="preserve"> </w:t>
      </w:r>
    </w:p>
    <w:p w:rsidR="000D52C2" w:rsidRPr="00E97D32" w:rsidRDefault="000D52C2" w:rsidP="00E97D32">
      <w:pPr>
        <w:pStyle w:val="JuPara"/>
        <w:ind w:firstLine="0"/>
        <w:rPr>
          <w:rFonts w:ascii="Comic Sans MS" w:hAnsi="Comic Sans MS"/>
          <w:sz w:val="18"/>
          <w:lang w:val="it-IT"/>
        </w:rPr>
      </w:pPr>
      <w:r w:rsidRPr="00E97D32">
        <w:rPr>
          <w:rFonts w:ascii="Comic Sans MS" w:hAnsi="Comic Sans MS"/>
          <w:sz w:val="18"/>
          <w:lang w:val="it-IT"/>
        </w:rPr>
        <w:t>Vi è stata quindi violazione dell’articolo 14, in combinato disposto con l’articolo 8 della Convenzione.</w:t>
      </w:r>
    </w:p>
    <w:p w:rsidR="000D52C2" w:rsidRPr="00E97D32" w:rsidRDefault="000D52C2">
      <w:pPr>
        <w:pStyle w:val="Textonotapie"/>
        <w:rPr>
          <w:sz w:val="18"/>
        </w:rPr>
      </w:pPr>
    </w:p>
  </w:footnote>
  <w:footnote w:id="7">
    <w:p w:rsidR="000D52C2" w:rsidRPr="00CE600C" w:rsidRDefault="000D52C2" w:rsidP="00821165">
      <w:pPr>
        <w:pStyle w:val="Textonotapie"/>
        <w:jc w:val="both"/>
        <w:rPr>
          <w:sz w:val="18"/>
        </w:rPr>
      </w:pPr>
      <w:r>
        <w:rPr>
          <w:rStyle w:val="Refdenotaalpie"/>
        </w:rPr>
        <w:footnoteRef/>
      </w:r>
      <w:r>
        <w:t xml:space="preserve"> </w:t>
      </w:r>
      <w:r w:rsidRPr="00CE600C">
        <w:rPr>
          <w:rFonts w:ascii="Comic Sans MS" w:hAnsi="Comic Sans MS" w:cs="Times New Roman"/>
          <w:sz w:val="18"/>
          <w:szCs w:val="20"/>
          <w:lang w:val="it-IT" w:eastAsia="es-ES_tradnl"/>
        </w:rPr>
        <w:t>La riduzione tiene ovviamente conto anche della avvenuta radiazione di oltre 3.500 ricorsi in materia di sovraffollamento carcerario</w:t>
      </w:r>
      <w:r w:rsidRPr="00CE600C">
        <w:rPr>
          <w:sz w:val="18"/>
        </w:rPr>
        <w:t>.</w:t>
      </w:r>
    </w:p>
  </w:footnote>
  <w:footnote w:id="8">
    <w:p w:rsidR="000D52C2" w:rsidRPr="00CE600C" w:rsidRDefault="000D52C2" w:rsidP="008161D0">
      <w:pPr>
        <w:pStyle w:val="NormalWeb"/>
        <w:spacing w:before="2" w:after="2"/>
        <w:jc w:val="both"/>
        <w:rPr>
          <w:rFonts w:ascii="Comic Sans MS" w:hAnsi="Comic Sans MS"/>
          <w:sz w:val="18"/>
          <w:lang w:val="it-IT"/>
        </w:rPr>
      </w:pPr>
      <w:r w:rsidRPr="00CE600C">
        <w:rPr>
          <w:rStyle w:val="Refdenotaalpie"/>
          <w:sz w:val="18"/>
        </w:rPr>
        <w:footnoteRef/>
      </w:r>
      <w:r w:rsidRPr="00CE600C">
        <w:rPr>
          <w:sz w:val="18"/>
        </w:rPr>
        <w:t xml:space="preserve"> </w:t>
      </w:r>
      <w:r w:rsidRPr="00CE600C">
        <w:rPr>
          <w:rFonts w:ascii="Comic Sans MS" w:hAnsi="Comic Sans MS"/>
          <w:sz w:val="18"/>
          <w:lang w:val="it-IT"/>
        </w:rPr>
        <w:t>Il Regolamento amichevole, previsto dall’art. 39 della Convenzione e dall’art. 62 del Regolamento CEDU, comporta la radiazione del ricorso a seguito dell’accordo raggiunto dalle parti con il consenso della Corte.</w:t>
      </w:r>
    </w:p>
    <w:p w:rsidR="000D52C2" w:rsidRPr="00CE600C" w:rsidRDefault="000D52C2" w:rsidP="00AE6C45">
      <w:pPr>
        <w:pStyle w:val="NormalWeb"/>
        <w:spacing w:before="2" w:after="2"/>
        <w:jc w:val="both"/>
        <w:rPr>
          <w:rFonts w:ascii="Comic Sans MS" w:hAnsi="Comic Sans MS"/>
          <w:sz w:val="18"/>
          <w:lang w:val="it-IT"/>
        </w:rPr>
      </w:pPr>
      <w:r w:rsidRPr="00CE600C">
        <w:rPr>
          <w:rFonts w:ascii="Comic Sans MS" w:hAnsi="Comic Sans MS"/>
          <w:sz w:val="18"/>
          <w:lang w:val="it-IT"/>
        </w:rPr>
        <w:t xml:space="preserve">In caso di rifiuto senza giustificato motivo da parte del ricorrente della proposta di regolamento amichevole pervenuta dallo Stato convenuto (Dichiarazione unilaterale), la Corte potrà decidere – ai sensi dell’art. 62° del regolamento CEDU - di cancellare la causa dal ruolo se il Governo convenuto dichiara di riconoscere la violazione della Convenzione impegnandosi a porvi adeguato rimedio.   </w:t>
      </w:r>
    </w:p>
  </w:footnote>
  <w:footnote w:id="9">
    <w:p w:rsidR="000D52C2" w:rsidRPr="00CE600C" w:rsidRDefault="000D52C2">
      <w:pPr>
        <w:pStyle w:val="Textonotapie"/>
      </w:pPr>
      <w:r w:rsidRPr="00CE600C">
        <w:rPr>
          <w:rStyle w:val="Refdenotaalpie"/>
        </w:rPr>
        <w:footnoteRef/>
      </w:r>
      <w:r w:rsidRPr="00CE600C">
        <w:t xml:space="preserve"> </w:t>
      </w:r>
      <w:r w:rsidRPr="00CE600C">
        <w:rPr>
          <w:rFonts w:ascii="Comic Sans MS" w:hAnsi="Comic Sans MS" w:cs="Times New Roman"/>
          <w:sz w:val="18"/>
          <w:szCs w:val="20"/>
          <w:lang w:val="it-IT" w:eastAsia="es-ES_tradnl"/>
        </w:rPr>
        <w:t xml:space="preserve">Tuttavia, dovrebbero essere ancora pendenti circa 1.600 ricorsi in materia di ritardato pagamento degli indennizzi “Pinto”. </w:t>
      </w:r>
    </w:p>
  </w:footnote>
  <w:footnote w:id="10">
    <w:p w:rsidR="00ED5270" w:rsidRPr="00CE600C" w:rsidRDefault="000D52C2" w:rsidP="00ED5270">
      <w:pPr>
        <w:autoSpaceDE w:val="0"/>
        <w:autoSpaceDN w:val="0"/>
        <w:adjustRightInd w:val="0"/>
        <w:jc w:val="both"/>
        <w:rPr>
          <w:rFonts w:ascii="Comic Sans MS" w:hAnsi="Comic Sans MS" w:cs="Times New Roman"/>
          <w:sz w:val="18"/>
          <w:szCs w:val="20"/>
          <w:lang w:val="it-IT" w:eastAsia="es-ES_tradnl"/>
        </w:rPr>
      </w:pPr>
      <w:r w:rsidRPr="00CE600C">
        <w:rPr>
          <w:rStyle w:val="Refdenotaalpie"/>
        </w:rPr>
        <w:footnoteRef/>
      </w:r>
      <w:r w:rsidRPr="00CE600C">
        <w:t xml:space="preserve"> </w:t>
      </w:r>
      <w:r w:rsidR="00ED5270" w:rsidRPr="00CE600C">
        <w:rPr>
          <w:rFonts w:ascii="Comic Sans MS" w:hAnsi="Comic Sans MS" w:cs="Times New Roman"/>
          <w:sz w:val="18"/>
          <w:szCs w:val="20"/>
          <w:lang w:val="it-IT" w:eastAsia="es-ES_tradnl"/>
        </w:rPr>
        <w:t>In particolare, desta perplessità, secondo le prime valutazioni, il rimedio acceleratorio introdotto, che non avrebbe eliminato le conseguenze delle già constatate violazioni e prevenuto altre.</w:t>
      </w:r>
    </w:p>
    <w:p w:rsidR="00ED5270" w:rsidRPr="00CE600C" w:rsidRDefault="00ED5270" w:rsidP="00ED5270">
      <w:pPr>
        <w:autoSpaceDE w:val="0"/>
        <w:autoSpaceDN w:val="0"/>
        <w:adjustRightInd w:val="0"/>
        <w:jc w:val="both"/>
        <w:rPr>
          <w:rFonts w:ascii="Comic Sans MS" w:hAnsi="Comic Sans MS" w:cs="Times New Roman"/>
          <w:sz w:val="18"/>
          <w:szCs w:val="20"/>
          <w:lang w:val="it-IT" w:eastAsia="es-ES_tradnl"/>
        </w:rPr>
      </w:pPr>
      <w:r w:rsidRPr="00CE600C">
        <w:rPr>
          <w:rFonts w:ascii="Comic Sans MS" w:hAnsi="Comic Sans MS" w:cs="Times New Roman"/>
          <w:sz w:val="18"/>
          <w:szCs w:val="20"/>
          <w:lang w:val="it-IT" w:eastAsia="es-ES_tradnl"/>
        </w:rPr>
        <w:t xml:space="preserve">Vi è il rischio, pertanto, che, seppure abbia un ambito di riferimento limitato al processo amministrativo, il monitoraggio sull’esecuzione della sentenza </w:t>
      </w:r>
      <w:r w:rsidRPr="00482150">
        <w:rPr>
          <w:rFonts w:ascii="Comic Sans MS" w:hAnsi="Comic Sans MS" w:cs="Times New Roman"/>
          <w:i/>
          <w:sz w:val="18"/>
          <w:szCs w:val="20"/>
          <w:lang w:val="it-IT" w:eastAsia="es-ES_tradnl"/>
        </w:rPr>
        <w:t>Olivieri e altri c/ Italia</w:t>
      </w:r>
      <w:r w:rsidRPr="00CE600C">
        <w:rPr>
          <w:rFonts w:ascii="Comic Sans MS" w:hAnsi="Comic Sans MS" w:cs="Times New Roman"/>
          <w:sz w:val="18"/>
          <w:szCs w:val="20"/>
          <w:lang w:val="it-IT" w:eastAsia="es-ES_tradnl"/>
        </w:rPr>
        <w:t xml:space="preserve"> possa portare a un giudizio negativo di tutti quei rimedi che non dovessero dimostrare un concreto effetto utile ai fini dell’accelerazione dei processi. </w:t>
      </w:r>
      <w:r w:rsidR="00703368" w:rsidRPr="00CE600C">
        <w:rPr>
          <w:rFonts w:ascii="Comic Sans MS" w:hAnsi="Comic Sans MS" w:cs="Times New Roman"/>
          <w:sz w:val="18"/>
          <w:szCs w:val="20"/>
          <w:lang w:val="it-IT" w:eastAsia="es-ES_tradnl"/>
        </w:rPr>
        <w:t xml:space="preserve">Le conseguenze sarebbero evidentemente gravi, poiché potrebbe riaprirsi il filone </w:t>
      </w:r>
      <w:r w:rsidRPr="00CE600C">
        <w:rPr>
          <w:rFonts w:ascii="Comic Sans MS" w:hAnsi="Comic Sans MS" w:cs="Times New Roman"/>
          <w:sz w:val="18"/>
          <w:szCs w:val="20"/>
          <w:lang w:val="it-IT" w:eastAsia="es-ES_tradnl"/>
        </w:rPr>
        <w:t>contenzioso</w:t>
      </w:r>
      <w:r w:rsidR="00703368" w:rsidRPr="00CE600C">
        <w:rPr>
          <w:rFonts w:ascii="Comic Sans MS" w:hAnsi="Comic Sans MS" w:cs="Times New Roman"/>
          <w:sz w:val="18"/>
          <w:szCs w:val="20"/>
          <w:lang w:val="it-IT" w:eastAsia="es-ES_tradnl"/>
        </w:rPr>
        <w:t xml:space="preserve"> inerente</w:t>
      </w:r>
      <w:r w:rsidRPr="00CE600C">
        <w:rPr>
          <w:rFonts w:ascii="Comic Sans MS" w:hAnsi="Comic Sans MS" w:cs="Times New Roman"/>
          <w:sz w:val="18"/>
          <w:szCs w:val="20"/>
          <w:lang w:val="it-IT" w:eastAsia="es-ES_tradnl"/>
        </w:rPr>
        <w:t xml:space="preserve"> </w:t>
      </w:r>
      <w:r w:rsidR="00703368" w:rsidRPr="00CE600C">
        <w:rPr>
          <w:rFonts w:ascii="Comic Sans MS" w:hAnsi="Comic Sans MS" w:cs="Times New Roman"/>
          <w:sz w:val="18"/>
          <w:szCs w:val="20"/>
          <w:lang w:val="it-IT" w:eastAsia="es-ES_tradnl"/>
        </w:rPr>
        <w:t>l’</w:t>
      </w:r>
      <w:r w:rsidRPr="00CE600C">
        <w:rPr>
          <w:rFonts w:ascii="Comic Sans MS" w:hAnsi="Comic Sans MS" w:cs="Times New Roman"/>
          <w:sz w:val="18"/>
          <w:szCs w:val="20"/>
          <w:lang w:val="it-IT" w:eastAsia="es-ES_tradnl"/>
        </w:rPr>
        <w:t>ineff</w:t>
      </w:r>
      <w:r w:rsidR="00703368" w:rsidRPr="00CE600C">
        <w:rPr>
          <w:rFonts w:ascii="Comic Sans MS" w:hAnsi="Comic Sans MS" w:cs="Times New Roman"/>
          <w:sz w:val="18"/>
          <w:szCs w:val="20"/>
          <w:lang w:val="it-IT" w:eastAsia="es-ES_tradnl"/>
        </w:rPr>
        <w:t>icacia</w:t>
      </w:r>
      <w:r w:rsidRPr="00CE600C">
        <w:rPr>
          <w:rFonts w:ascii="Comic Sans MS" w:hAnsi="Comic Sans MS" w:cs="Times New Roman"/>
          <w:sz w:val="18"/>
          <w:szCs w:val="20"/>
          <w:lang w:val="it-IT" w:eastAsia="es-ES_tradnl"/>
        </w:rPr>
        <w:t xml:space="preserve"> del sistema</w:t>
      </w:r>
      <w:r w:rsidR="00703368" w:rsidRPr="00CE600C">
        <w:rPr>
          <w:rFonts w:ascii="Comic Sans MS" w:hAnsi="Comic Sans MS" w:cs="Times New Roman"/>
          <w:sz w:val="18"/>
          <w:szCs w:val="20"/>
          <w:lang w:val="it-IT" w:eastAsia="es-ES_tradnl"/>
        </w:rPr>
        <w:t xml:space="preserve"> interno al porre rimedio</w:t>
      </w:r>
      <w:r w:rsidRPr="00CE600C">
        <w:rPr>
          <w:rFonts w:ascii="Comic Sans MS" w:hAnsi="Comic Sans MS" w:cs="Times New Roman"/>
          <w:sz w:val="18"/>
          <w:szCs w:val="20"/>
          <w:lang w:val="it-IT" w:eastAsia="es-ES_tradnl"/>
        </w:rPr>
        <w:t xml:space="preserve"> alla irragionevole durata dei processi.</w:t>
      </w:r>
    </w:p>
    <w:p w:rsidR="000D52C2" w:rsidRPr="00CE600C" w:rsidRDefault="000D52C2">
      <w:pPr>
        <w:pStyle w:val="Textonotapie"/>
      </w:pPr>
    </w:p>
  </w:footnote>
  <w:footnote w:id="11">
    <w:p w:rsidR="000D52C2" w:rsidRPr="009704F5" w:rsidRDefault="000D52C2" w:rsidP="009704F5">
      <w:pPr>
        <w:pStyle w:val="Textonotapie"/>
        <w:jc w:val="both"/>
        <w:rPr>
          <w:rFonts w:ascii="Comic Sans MS" w:hAnsi="Comic Sans MS"/>
          <w:sz w:val="18"/>
          <w:szCs w:val="18"/>
          <w:lang w:val="it-IT"/>
        </w:rPr>
      </w:pPr>
      <w:r>
        <w:rPr>
          <w:rStyle w:val="Refdenotaalpie"/>
        </w:rPr>
        <w:footnoteRef/>
      </w:r>
      <w:r>
        <w:t xml:space="preserve"> </w:t>
      </w:r>
      <w:r w:rsidRPr="00932282">
        <w:rPr>
          <w:rFonts w:ascii="Comic Sans MS" w:hAnsi="Comic Sans MS"/>
          <w:sz w:val="18"/>
          <w:szCs w:val="18"/>
          <w:lang w:val="it-IT"/>
        </w:rPr>
        <w:t>Con detta sentenza, i</w:t>
      </w:r>
      <w:r w:rsidRPr="009704F5">
        <w:rPr>
          <w:rFonts w:ascii="Comic Sans MS" w:hAnsi="Comic Sans MS"/>
          <w:sz w:val="18"/>
          <w:szCs w:val="18"/>
          <w:lang w:val="it-IT"/>
        </w:rPr>
        <w:t xml:space="preserve"> giudici europei hanno affermato, rivendendo il loro precedente orientamento in materia, che il risarcimento del danno debba essere pari al valore venale del bene al momento dell’espropriazione, oltre interessi e rivalutazione.</w:t>
      </w:r>
    </w:p>
  </w:footnote>
  <w:footnote w:id="12">
    <w:p w:rsidR="000D52C2" w:rsidRPr="00437D32" w:rsidRDefault="000D52C2" w:rsidP="000F1BCB">
      <w:pPr>
        <w:pStyle w:val="Textonotapie"/>
        <w:jc w:val="both"/>
        <w:rPr>
          <w:rFonts w:ascii="Comic Sans MS" w:hAnsi="Comic Sans MS"/>
          <w:sz w:val="18"/>
          <w:szCs w:val="18"/>
          <w:lang w:val="it-IT"/>
        </w:rPr>
      </w:pPr>
      <w:r>
        <w:rPr>
          <w:rStyle w:val="Refdenotaalpie"/>
        </w:rPr>
        <w:footnoteRef/>
      </w:r>
      <w:r>
        <w:t xml:space="preserve"> </w:t>
      </w:r>
      <w:r w:rsidRPr="00437D32">
        <w:rPr>
          <w:rFonts w:ascii="Comic Sans MS" w:hAnsi="Comic Sans MS"/>
          <w:sz w:val="18"/>
          <w:szCs w:val="18"/>
          <w:lang w:val="it-IT"/>
        </w:rPr>
        <w:t xml:space="preserve">A titolo di esempio, </w:t>
      </w:r>
      <w:r>
        <w:rPr>
          <w:rFonts w:ascii="Comic Sans MS" w:hAnsi="Comic Sans MS"/>
          <w:sz w:val="18"/>
          <w:szCs w:val="18"/>
          <w:lang w:val="it-IT"/>
        </w:rPr>
        <w:t>nel</w:t>
      </w:r>
      <w:r w:rsidRPr="00437D32">
        <w:rPr>
          <w:rFonts w:ascii="Comic Sans MS" w:hAnsi="Comic Sans MS"/>
          <w:sz w:val="18"/>
          <w:szCs w:val="18"/>
          <w:lang w:val="it-IT"/>
        </w:rPr>
        <w:t xml:space="preserve"> cas</w:t>
      </w:r>
      <w:r>
        <w:rPr>
          <w:rFonts w:ascii="Comic Sans MS" w:hAnsi="Comic Sans MS"/>
          <w:sz w:val="18"/>
          <w:szCs w:val="18"/>
          <w:lang w:val="it-IT"/>
        </w:rPr>
        <w:t>o</w:t>
      </w:r>
      <w:r w:rsidRPr="00437D32">
        <w:rPr>
          <w:rFonts w:ascii="Comic Sans MS" w:hAnsi="Comic Sans MS"/>
          <w:sz w:val="18"/>
          <w:szCs w:val="18"/>
          <w:lang w:val="it-IT"/>
        </w:rPr>
        <w:t xml:space="preserve"> </w:t>
      </w:r>
      <w:r w:rsidRPr="00894329">
        <w:rPr>
          <w:rFonts w:ascii="Comic Sans MS" w:hAnsi="Comic Sans MS"/>
          <w:i/>
          <w:sz w:val="18"/>
          <w:szCs w:val="18"/>
          <w:lang w:val="it-IT"/>
        </w:rPr>
        <w:t>Pratolungo Immobilare c/</w:t>
      </w:r>
      <w:r>
        <w:rPr>
          <w:rFonts w:ascii="Comic Sans MS" w:hAnsi="Comic Sans MS"/>
          <w:i/>
          <w:sz w:val="18"/>
          <w:szCs w:val="18"/>
          <w:lang w:val="it-IT"/>
        </w:rPr>
        <w:t xml:space="preserve"> </w:t>
      </w:r>
      <w:r w:rsidRPr="00894329">
        <w:rPr>
          <w:rFonts w:ascii="Comic Sans MS" w:hAnsi="Comic Sans MS"/>
          <w:i/>
          <w:sz w:val="18"/>
          <w:szCs w:val="18"/>
          <w:lang w:val="it-IT"/>
        </w:rPr>
        <w:t>Italia</w:t>
      </w:r>
      <w:r>
        <w:rPr>
          <w:rFonts w:ascii="Comic Sans MS" w:hAnsi="Comic Sans MS"/>
          <w:sz w:val="18"/>
          <w:szCs w:val="18"/>
          <w:lang w:val="it-IT"/>
        </w:rPr>
        <w:t xml:space="preserve"> il regolamento amichevole ha comportato l’esborso di circa venti milioni di euro in favore della ricorrente.</w:t>
      </w:r>
    </w:p>
  </w:footnote>
  <w:footnote w:id="13">
    <w:p w:rsidR="000D52C2" w:rsidRPr="001D313A" w:rsidRDefault="000D52C2" w:rsidP="001D313A">
      <w:pPr>
        <w:widowControl w:val="0"/>
        <w:autoSpaceDE w:val="0"/>
        <w:autoSpaceDN w:val="0"/>
        <w:adjustRightInd w:val="0"/>
        <w:jc w:val="both"/>
        <w:rPr>
          <w:rFonts w:ascii="Comic Sans MS" w:hAnsi="Comic Sans MS"/>
          <w:sz w:val="18"/>
          <w:lang w:val="it-IT"/>
        </w:rPr>
      </w:pPr>
      <w:r>
        <w:rPr>
          <w:rStyle w:val="Refdenotaalpie"/>
        </w:rPr>
        <w:footnoteRef/>
      </w:r>
      <w:r>
        <w:t xml:space="preserve"> </w:t>
      </w:r>
      <w:r>
        <w:rPr>
          <w:rFonts w:ascii="Comic Sans MS" w:hAnsi="Comic Sans MS"/>
          <w:sz w:val="18"/>
          <w:lang w:val="it-IT"/>
        </w:rPr>
        <w:t>Nei casi citati</w:t>
      </w:r>
      <w:r w:rsidRPr="001D313A">
        <w:rPr>
          <w:rFonts w:ascii="Comic Sans MS" w:hAnsi="Comic Sans MS"/>
          <w:sz w:val="18"/>
          <w:lang w:val="it-IT"/>
        </w:rPr>
        <w:t>, l’articolo 1 della</w:t>
      </w:r>
      <w:r>
        <w:rPr>
          <w:rFonts w:ascii="Comic Sans MS" w:hAnsi="Comic Sans MS"/>
          <w:sz w:val="18"/>
          <w:lang w:val="it-IT"/>
        </w:rPr>
        <w:t xml:space="preserve"> legge 23 dicembre 2005 n. 266 </w:t>
      </w:r>
      <w:r w:rsidRPr="001D313A">
        <w:rPr>
          <w:rFonts w:ascii="Comic Sans MS" w:hAnsi="Comic Sans MS"/>
          <w:sz w:val="18"/>
          <w:lang w:val="it-IT"/>
        </w:rPr>
        <w:t>escludeva dal suo campo di applicazione soltanto le decisioni giudiziarie passate in giudicato, fissa</w:t>
      </w:r>
      <w:r>
        <w:rPr>
          <w:rFonts w:ascii="Comic Sans MS" w:hAnsi="Comic Sans MS"/>
          <w:sz w:val="18"/>
          <w:lang w:val="it-IT"/>
        </w:rPr>
        <w:t>ndo, pertanto,</w:t>
      </w:r>
      <w:r w:rsidRPr="001D313A">
        <w:rPr>
          <w:rFonts w:ascii="Comic Sans MS" w:hAnsi="Comic Sans MS"/>
          <w:sz w:val="18"/>
          <w:lang w:val="it-IT"/>
        </w:rPr>
        <w:t xml:space="preserve"> in maniera retroattiva i termini della </w:t>
      </w:r>
      <w:r>
        <w:rPr>
          <w:rFonts w:ascii="Comic Sans MS" w:hAnsi="Comic Sans MS"/>
          <w:sz w:val="18"/>
          <w:lang w:val="it-IT"/>
        </w:rPr>
        <w:t xml:space="preserve">questione ancora </w:t>
      </w:r>
      <w:r w:rsidRPr="001D313A">
        <w:rPr>
          <w:rFonts w:ascii="Comic Sans MS" w:hAnsi="Comic Sans MS"/>
          <w:sz w:val="18"/>
          <w:lang w:val="it-IT"/>
        </w:rPr>
        <w:t>sottoposta a</w:t>
      </w:r>
      <w:r>
        <w:rPr>
          <w:rFonts w:ascii="Comic Sans MS" w:hAnsi="Comic Sans MS"/>
          <w:sz w:val="18"/>
          <w:lang w:val="it-IT"/>
        </w:rPr>
        <w:t>l vaglio de</w:t>
      </w:r>
      <w:r w:rsidRPr="001D313A">
        <w:rPr>
          <w:rFonts w:ascii="Comic Sans MS" w:hAnsi="Comic Sans MS"/>
          <w:sz w:val="18"/>
          <w:lang w:val="it-IT"/>
        </w:rPr>
        <w:t>i giudici</w:t>
      </w:r>
      <w:r>
        <w:rPr>
          <w:rFonts w:ascii="Comic Sans MS" w:hAnsi="Comic Sans MS"/>
          <w:sz w:val="18"/>
          <w:lang w:val="it-IT"/>
        </w:rPr>
        <w:t>. Dato</w:t>
      </w:r>
      <w:r w:rsidRPr="001D313A">
        <w:rPr>
          <w:rFonts w:ascii="Comic Sans MS" w:hAnsi="Comic Sans MS"/>
          <w:sz w:val="18"/>
          <w:lang w:val="it-IT"/>
        </w:rPr>
        <w:t xml:space="preserve"> che le azioni proposte da tutti i ricorrenti dinanzi ai giudici nazionali erano pendenti al momento della promulgazione della legge </w:t>
      </w:r>
      <w:r>
        <w:rPr>
          <w:rFonts w:ascii="Comic Sans MS" w:hAnsi="Comic Sans MS"/>
          <w:sz w:val="18"/>
          <w:lang w:val="it-IT"/>
        </w:rPr>
        <w:t>n. 266/2005</w:t>
      </w:r>
      <w:r w:rsidRPr="001D313A">
        <w:rPr>
          <w:rFonts w:ascii="Comic Sans MS" w:hAnsi="Comic Sans MS"/>
          <w:sz w:val="18"/>
          <w:lang w:val="it-IT"/>
        </w:rPr>
        <w:t>, quest’ultima aveva dunque regolato l’esame di merito delle relative liti e reso vana la prosecuzione dei procedimenti.</w:t>
      </w:r>
    </w:p>
  </w:footnote>
  <w:footnote w:id="14">
    <w:p w:rsidR="000D52C2" w:rsidRDefault="000D52C2" w:rsidP="00B53B45">
      <w:pPr>
        <w:jc w:val="both"/>
        <w:rPr>
          <w:rFonts w:ascii="Comic Sans MS" w:hAnsi="Comic Sans MS"/>
          <w:sz w:val="18"/>
          <w:lang w:val="it-IT"/>
        </w:rPr>
      </w:pPr>
      <w:r>
        <w:rPr>
          <w:rStyle w:val="Refdenotaalpie"/>
        </w:rPr>
        <w:footnoteRef/>
      </w:r>
      <w:r>
        <w:t xml:space="preserve"> </w:t>
      </w:r>
      <w:r w:rsidRPr="00B53B45">
        <w:rPr>
          <w:rFonts w:ascii="Comic Sans MS" w:hAnsi="Comic Sans MS"/>
          <w:sz w:val="18"/>
          <w:lang w:val="it-IT"/>
        </w:rPr>
        <w:t>I</w:t>
      </w:r>
      <w:r>
        <w:rPr>
          <w:rFonts w:ascii="Comic Sans MS" w:hAnsi="Comic Sans MS"/>
          <w:sz w:val="18"/>
          <w:lang w:val="it-IT"/>
        </w:rPr>
        <w:t xml:space="preserve"> ricorrenti,</w:t>
      </w:r>
      <w:r w:rsidRPr="00B53B45">
        <w:rPr>
          <w:rFonts w:ascii="Comic Sans MS" w:hAnsi="Comic Sans MS"/>
          <w:sz w:val="18"/>
          <w:lang w:val="it-IT"/>
        </w:rPr>
        <w:t xml:space="preserve"> cittadini italiani, valendosi della Convenzione italo-svizzera in materia di sicurezza sociale, avevano chiesto il trasferimento in Italia, ai fini della determinazione della pensione, dei contributi versati in Svizzera. </w:t>
      </w:r>
      <w:r>
        <w:rPr>
          <w:rFonts w:ascii="Comic Sans MS" w:hAnsi="Comic Sans MS"/>
          <w:sz w:val="18"/>
          <w:lang w:val="it-IT"/>
        </w:rPr>
        <w:t>Si consideri che t</w:t>
      </w:r>
      <w:r w:rsidRPr="00B53B45">
        <w:rPr>
          <w:rFonts w:ascii="Comic Sans MS" w:hAnsi="Comic Sans MS"/>
          <w:sz w:val="18"/>
          <w:lang w:val="it-IT"/>
        </w:rPr>
        <w:t>ali lavoratori, a fronte di stipendi più elevati di quelli italiani, avevano versato in Svizzera contributi inferiori a quelli previsti in Italia.</w:t>
      </w:r>
    </w:p>
    <w:p w:rsidR="000D52C2" w:rsidRDefault="000D52C2" w:rsidP="00B53B45">
      <w:pPr>
        <w:jc w:val="both"/>
        <w:rPr>
          <w:rFonts w:ascii="Comic Sans MS" w:hAnsi="Comic Sans MS"/>
          <w:sz w:val="18"/>
          <w:lang w:val="it-IT"/>
        </w:rPr>
      </w:pPr>
      <w:r w:rsidRPr="00B53B45">
        <w:rPr>
          <w:rFonts w:ascii="Comic Sans MS" w:hAnsi="Comic Sans MS"/>
          <w:sz w:val="18"/>
          <w:lang w:val="it-IT"/>
        </w:rPr>
        <w:t>L’INPS, in base all’interpretazione prevalente in giurisprudenza, avrebbe dovuto liquidare le pensioni sulla base delle retribuzioni percepite, senza considerare il minore esborso contributivo. L’Ente pensionistico sceglieva invece di tenere conto per il calcolo della minore aliquota contributiva vigente in Svizzera. Il risultato era quello di liquidare trattamenti pensionistici in misura sensibilmente inferiore rispetto alle attese dei richiedenti. Questi incardinavano svariati contenziosi innanzi al Giudice del lavoro sulla base dell’indirizzo giurisprudenziale assolutamente prevalente in materia</w:t>
      </w:r>
      <w:r>
        <w:rPr>
          <w:rFonts w:ascii="Comic Sans MS" w:hAnsi="Comic Sans MS"/>
          <w:sz w:val="18"/>
          <w:lang w:val="it-IT"/>
        </w:rPr>
        <w:t>,</w:t>
      </w:r>
      <w:r w:rsidRPr="00B53B45">
        <w:rPr>
          <w:rFonts w:ascii="Comic Sans MS" w:hAnsi="Comic Sans MS"/>
          <w:sz w:val="18"/>
          <w:lang w:val="it-IT"/>
        </w:rPr>
        <w:t xml:space="preserve"> per il quale era irrilevante la minore aliquota contributiva applicata all’estero. </w:t>
      </w:r>
    </w:p>
    <w:p w:rsidR="000D52C2" w:rsidRDefault="000D52C2" w:rsidP="00B53B45">
      <w:pPr>
        <w:jc w:val="both"/>
        <w:rPr>
          <w:rFonts w:ascii="Comic Sans MS" w:hAnsi="Comic Sans MS"/>
          <w:sz w:val="18"/>
          <w:lang w:val="it-IT"/>
        </w:rPr>
      </w:pPr>
      <w:r w:rsidRPr="00B53B45">
        <w:rPr>
          <w:rFonts w:ascii="Comic Sans MS" w:hAnsi="Comic Sans MS"/>
          <w:sz w:val="18"/>
          <w:lang w:val="it-IT"/>
        </w:rPr>
        <w:t>La normativa di riferimento era costituita dal d.p.r. n. 488 del 27 aprile 1968, disciplinante il sistema di calcolo delle pensioni a carico dell’assicurazione generale obbligatoria.</w:t>
      </w:r>
    </w:p>
    <w:p w:rsidR="000D52C2" w:rsidRPr="00CE600C" w:rsidRDefault="000D52C2" w:rsidP="00CE600C">
      <w:pPr>
        <w:jc w:val="both"/>
        <w:rPr>
          <w:rFonts w:ascii="Comic Sans MS" w:hAnsi="Comic Sans MS"/>
          <w:sz w:val="18"/>
          <w:lang w:val="it-IT"/>
        </w:rPr>
      </w:pPr>
      <w:r>
        <w:rPr>
          <w:rFonts w:ascii="Comic Sans MS" w:hAnsi="Comic Sans MS"/>
          <w:sz w:val="18"/>
          <w:lang w:val="it-IT"/>
        </w:rPr>
        <w:t>I</w:t>
      </w:r>
      <w:r w:rsidRPr="00B53B45">
        <w:rPr>
          <w:rFonts w:ascii="Comic Sans MS" w:hAnsi="Comic Sans MS"/>
          <w:sz w:val="18"/>
          <w:lang w:val="it-IT"/>
        </w:rPr>
        <w:t>l legislatore italiano interveniva con legge del 27 dicembre 2006 n. 296 (legge finanziaria 2007) che forniva un</w:t>
      </w:r>
      <w:r>
        <w:rPr>
          <w:rFonts w:ascii="Comic Sans MS" w:hAnsi="Comic Sans MS"/>
          <w:sz w:val="18"/>
          <w:lang w:val="it-IT"/>
        </w:rPr>
        <w:t>’</w:t>
      </w:r>
      <w:r w:rsidRPr="00B53B45">
        <w:rPr>
          <w:rFonts w:ascii="Comic Sans MS" w:hAnsi="Comic Sans MS"/>
          <w:sz w:val="18"/>
          <w:lang w:val="it-IT"/>
        </w:rPr>
        <w:t>interpretazione autentica del citato d.p.r.</w:t>
      </w:r>
      <w:r>
        <w:rPr>
          <w:rFonts w:ascii="Comic Sans MS" w:hAnsi="Comic Sans MS"/>
          <w:sz w:val="18"/>
          <w:lang w:val="it-IT"/>
        </w:rPr>
        <w:t xml:space="preserve">, </w:t>
      </w:r>
      <w:r w:rsidRPr="00B53B45">
        <w:rPr>
          <w:rFonts w:ascii="Comic Sans MS" w:hAnsi="Comic Sans MS"/>
          <w:sz w:val="18"/>
          <w:lang w:val="it-IT"/>
        </w:rPr>
        <w:t>dispone</w:t>
      </w:r>
      <w:r>
        <w:rPr>
          <w:rFonts w:ascii="Comic Sans MS" w:hAnsi="Comic Sans MS"/>
          <w:sz w:val="18"/>
          <w:lang w:val="it-IT"/>
        </w:rPr>
        <w:t>ndo</w:t>
      </w:r>
      <w:r w:rsidRPr="00B53B45">
        <w:rPr>
          <w:rFonts w:ascii="Comic Sans MS" w:hAnsi="Comic Sans MS"/>
          <w:sz w:val="18"/>
          <w:lang w:val="it-IT"/>
        </w:rPr>
        <w:t xml:space="preserve"> in via retroattiva che la retribuzione pensionabile dovesse esser proporzionata alla misura dei contributi effettivamente versati anche nell’ipotesi di attività lavorativa svolta all’</w:t>
      </w:r>
      <w:r>
        <w:rPr>
          <w:rFonts w:ascii="Comic Sans MS" w:hAnsi="Comic Sans MS"/>
          <w:sz w:val="18"/>
          <w:lang w:val="it-IT"/>
        </w:rPr>
        <w:t>estero, avallando in tal modo</w:t>
      </w:r>
      <w:r w:rsidRPr="00B53B45">
        <w:rPr>
          <w:rFonts w:ascii="Comic Sans MS" w:hAnsi="Comic Sans MS"/>
          <w:sz w:val="18"/>
          <w:lang w:val="it-IT"/>
        </w:rPr>
        <w:t xml:space="preserve"> l’interpretazione </w:t>
      </w:r>
      <w:r>
        <w:rPr>
          <w:rFonts w:ascii="Comic Sans MS" w:hAnsi="Comic Sans MS"/>
          <w:sz w:val="18"/>
          <w:lang w:val="it-IT"/>
        </w:rPr>
        <w:t>data da</w:t>
      </w:r>
      <w:r w:rsidRPr="00B53B45">
        <w:rPr>
          <w:rFonts w:ascii="Comic Sans MS" w:hAnsi="Comic Sans MS"/>
          <w:sz w:val="18"/>
          <w:lang w:val="it-IT"/>
        </w:rPr>
        <w:t>ll’INPS.</w:t>
      </w:r>
    </w:p>
  </w:footnote>
  <w:footnote w:id="15">
    <w:p w:rsidR="000D52C2" w:rsidRPr="006A2A41" w:rsidRDefault="000D52C2" w:rsidP="006A2A41">
      <w:pPr>
        <w:pStyle w:val="NormalWeb"/>
        <w:spacing w:beforeLines="0" w:afterLines="0"/>
        <w:jc w:val="both"/>
        <w:rPr>
          <w:rFonts w:ascii="Comic Sans MS" w:eastAsia="SimSun" w:hAnsi="Comic Sans MS" w:cs="Arial"/>
          <w:color w:val="000000"/>
          <w:kern w:val="1"/>
          <w:sz w:val="18"/>
          <w:szCs w:val="22"/>
          <w:lang w:val="it-IT" w:eastAsia="ar-SA"/>
        </w:rPr>
      </w:pPr>
      <w:r>
        <w:rPr>
          <w:rStyle w:val="Refdenotaalpie"/>
        </w:rPr>
        <w:footnoteRef/>
      </w:r>
      <w:r>
        <w:t xml:space="preserve"> </w:t>
      </w:r>
      <w:r w:rsidRPr="006A2A41">
        <w:rPr>
          <w:rFonts w:ascii="Comic Sans MS" w:eastAsia="SimSun" w:hAnsi="Comic Sans MS" w:cs="Arial"/>
          <w:color w:val="000000"/>
          <w:kern w:val="1"/>
          <w:sz w:val="18"/>
          <w:szCs w:val="22"/>
          <w:lang w:val="it-IT" w:eastAsia="ar-SA"/>
        </w:rPr>
        <w:t>Si tratta, in particolare, dei caratteri del sistema previdenziale, che tende alla corrispondenza fra risorse disponibili e prestazioni erogate, e dei vincoli imposti dall'art. 81 Cost. La Corte conclude, pertanto, osservando che la propria attività di bilanciamento degli interessi coinvolti è intrinsecamente differente da quella compiuta dalla Corte europea, la cui tutela avviene “</w:t>
      </w:r>
      <w:r w:rsidRPr="006A2A41">
        <w:rPr>
          <w:rFonts w:ascii="Comic Sans MS" w:eastAsia="SimSun" w:hAnsi="Comic Sans MS" w:cs="Arial"/>
          <w:i/>
          <w:color w:val="000000"/>
          <w:kern w:val="1"/>
          <w:sz w:val="18"/>
          <w:szCs w:val="22"/>
          <w:lang w:val="it-IT" w:eastAsia="ar-SA"/>
        </w:rPr>
        <w:t>in modo parcellizzato, con riferimento a singoli diritti, i diversi valori in giuoco", mentre la Corte costituzionale "opera una valutazione sistemica, e non isolata, dei valori coinvolti dalla norma di volta in volta scrutinata, ed è, quindi, tenuta a quel bilanciamento, solo ad essa spettante</w:t>
      </w:r>
      <w:r w:rsidRPr="006A2A41">
        <w:rPr>
          <w:rFonts w:ascii="Comic Sans MS" w:eastAsia="SimSun" w:hAnsi="Comic Sans MS" w:cs="Arial"/>
          <w:color w:val="000000"/>
          <w:kern w:val="1"/>
          <w:sz w:val="18"/>
          <w:szCs w:val="22"/>
          <w:lang w:val="it-IT" w:eastAsia="ar-SA"/>
        </w:rPr>
        <w:t>".</w:t>
      </w:r>
    </w:p>
  </w:footnote>
  <w:footnote w:id="16">
    <w:p w:rsidR="000D52C2" w:rsidRPr="006A2A41" w:rsidRDefault="000D52C2" w:rsidP="006A2A41">
      <w:pPr>
        <w:pStyle w:val="JuPara"/>
        <w:ind w:firstLine="0"/>
        <w:rPr>
          <w:rFonts w:ascii="Comic Sans MS" w:hAnsi="Comic Sans MS" w:cs="Arial"/>
          <w:color w:val="000000"/>
          <w:sz w:val="18"/>
          <w:szCs w:val="22"/>
          <w:lang w:val="it-IT"/>
        </w:rPr>
      </w:pPr>
      <w:r>
        <w:rPr>
          <w:rStyle w:val="Refdenotaalpie"/>
        </w:rPr>
        <w:footnoteRef/>
      </w:r>
      <w:r>
        <w:t xml:space="preserve"> </w:t>
      </w:r>
      <w:r w:rsidRPr="006A2A41">
        <w:rPr>
          <w:rFonts w:ascii="Comic Sans MS" w:hAnsi="Comic Sans MS"/>
          <w:sz w:val="18"/>
          <w:lang w:val="it-IT"/>
        </w:rPr>
        <w:t>Nei confronti</w:t>
      </w:r>
      <w:r w:rsidRPr="006A2A41">
        <w:rPr>
          <w:rFonts w:ascii="Comic Sans MS" w:hAnsi="Comic Sans MS" w:cs="Arial"/>
          <w:color w:val="000000"/>
          <w:sz w:val="18"/>
          <w:szCs w:val="22"/>
          <w:lang w:val="it-IT"/>
        </w:rPr>
        <w:t xml:space="preserve"> dell’Italia, i giudici di Strasburgo hanno richiamato la decisione del caso </w:t>
      </w:r>
      <w:r w:rsidRPr="006A2A41">
        <w:rPr>
          <w:rFonts w:ascii="Comic Sans MS" w:hAnsi="Comic Sans MS" w:cs="Arial"/>
          <w:i/>
          <w:color w:val="000000"/>
          <w:sz w:val="18"/>
          <w:szCs w:val="22"/>
          <w:lang w:val="it-IT"/>
        </w:rPr>
        <w:t>Hirsi Jamaa e altri c</w:t>
      </w:r>
      <w:r>
        <w:rPr>
          <w:rFonts w:ascii="Comic Sans MS" w:hAnsi="Comic Sans MS" w:cs="Arial"/>
          <w:i/>
          <w:color w:val="000000"/>
          <w:sz w:val="18"/>
          <w:szCs w:val="22"/>
          <w:lang w:val="it-IT"/>
        </w:rPr>
        <w:t>/</w:t>
      </w:r>
      <w:r w:rsidRPr="006A2A41">
        <w:rPr>
          <w:rFonts w:ascii="Comic Sans MS" w:hAnsi="Comic Sans MS" w:cs="Arial"/>
          <w:i/>
          <w:color w:val="000000"/>
          <w:sz w:val="18"/>
          <w:szCs w:val="22"/>
          <w:lang w:val="it-IT"/>
        </w:rPr>
        <w:t xml:space="preserve"> Italia</w:t>
      </w:r>
      <w:r w:rsidRPr="006A2A41">
        <w:rPr>
          <w:rFonts w:ascii="Comic Sans MS" w:hAnsi="Comic Sans MS" w:cs="Arial"/>
          <w:color w:val="000000"/>
          <w:sz w:val="18"/>
          <w:szCs w:val="22"/>
          <w:lang w:val="it-IT"/>
        </w:rPr>
        <w:t>, ricordando che lo scopo dell'art. 4 del Protocollo n. 4 è quello di impedire agli Stati membri di respingere un certo numero di</w:t>
      </w:r>
      <w:r w:rsidRPr="006A2A41">
        <w:rPr>
          <w:rFonts w:ascii="Comic Sans MS" w:hAnsi="Comic Sans MS" w:cs="Arial"/>
          <w:color w:val="000000"/>
          <w:sz w:val="22"/>
          <w:szCs w:val="22"/>
          <w:lang w:val="it-IT"/>
        </w:rPr>
        <w:t xml:space="preserve"> </w:t>
      </w:r>
      <w:r w:rsidRPr="006A2A41">
        <w:rPr>
          <w:rFonts w:ascii="Comic Sans MS" w:hAnsi="Comic Sans MS" w:cs="Arial"/>
          <w:color w:val="000000"/>
          <w:sz w:val="18"/>
          <w:szCs w:val="22"/>
          <w:lang w:val="it-IT"/>
        </w:rPr>
        <w:t xml:space="preserve">cittadini di Paesi terzi senza il previo esame della loro situazione personale e </w:t>
      </w:r>
      <w:r w:rsidRPr="006A2A41">
        <w:rPr>
          <w:rFonts w:ascii="Comic Sans MS" w:hAnsi="Comic Sans MS" w:cs="Arial"/>
          <w:bCs/>
          <w:color w:val="000000"/>
          <w:sz w:val="18"/>
          <w:szCs w:val="22"/>
          <w:lang w:val="it-IT"/>
        </w:rPr>
        <w:t>senza aver dato loro la possibilità di esporre le proprie argomentazioni</w:t>
      </w:r>
      <w:r w:rsidRPr="006A2A41">
        <w:rPr>
          <w:rFonts w:ascii="Comic Sans MS" w:hAnsi="Comic Sans MS" w:cs="Arial"/>
          <w:color w:val="000000"/>
          <w:sz w:val="18"/>
          <w:szCs w:val="22"/>
          <w:lang w:val="it-IT"/>
        </w:rPr>
        <w:t xml:space="preserve"> contrarie alla misura. La Corte ha ritenuto provata l'esistenza di una prassi consolidata di rinvii automatici e indiscriminati dall'Italia alla Grecia, prassi che </w:t>
      </w:r>
      <w:r w:rsidRPr="006A2A41">
        <w:rPr>
          <w:rFonts w:ascii="Comic Sans MS" w:hAnsi="Comic Sans MS" w:cs="Arial"/>
          <w:bCs/>
          <w:color w:val="000000"/>
          <w:sz w:val="18"/>
          <w:szCs w:val="22"/>
          <w:lang w:val="it-IT"/>
        </w:rPr>
        <w:t>non trova alcun fondamento normativo nel regolamento Dublino, osservando che</w:t>
      </w:r>
      <w:r>
        <w:rPr>
          <w:rFonts w:ascii="Comic Sans MS" w:hAnsi="Comic Sans MS" w:cs="Arial"/>
          <w:bCs/>
          <w:color w:val="000000"/>
          <w:sz w:val="18"/>
          <w:szCs w:val="22"/>
          <w:lang w:val="it-IT"/>
        </w:rPr>
        <w:t>:</w:t>
      </w:r>
      <w:r w:rsidRPr="006A2A41">
        <w:rPr>
          <w:rFonts w:ascii="Comic Sans MS" w:hAnsi="Comic Sans MS" w:cs="Arial"/>
          <w:bCs/>
          <w:color w:val="000000"/>
          <w:sz w:val="18"/>
          <w:szCs w:val="22"/>
          <w:lang w:val="it-IT"/>
        </w:rPr>
        <w:t xml:space="preserve"> “</w:t>
      </w:r>
      <w:r w:rsidRPr="006A2A41">
        <w:rPr>
          <w:rFonts w:ascii="Comic Sans MS" w:hAnsi="Comic Sans MS"/>
          <w:i/>
          <w:sz w:val="18"/>
          <w:szCs w:val="22"/>
          <w:lang w:val="it-IT"/>
        </w:rPr>
        <w:t>soltanto per la buona volontà della polizia di frontiera</w:t>
      </w:r>
      <w:r>
        <w:rPr>
          <w:rFonts w:ascii="Comic Sans MS" w:hAnsi="Comic Sans MS"/>
          <w:i/>
          <w:sz w:val="18"/>
          <w:szCs w:val="22"/>
          <w:lang w:val="it-IT"/>
        </w:rPr>
        <w:t>,</w:t>
      </w:r>
      <w:r w:rsidRPr="006A2A41">
        <w:rPr>
          <w:rFonts w:ascii="Comic Sans MS" w:hAnsi="Comic Sans MS"/>
          <w:i/>
          <w:sz w:val="18"/>
          <w:szCs w:val="22"/>
          <w:lang w:val="it-IT"/>
        </w:rPr>
        <w:t xml:space="preserve"> le persone sprovviste di documenti intercettate in tali porti sarebbero messe in contatto con un interprete e con agenti in grado di fornire loro le informazioni minime riguardanti il diritto di asilo e la procedura pertinente; nella maggior parte dei casi</w:t>
      </w:r>
      <w:r>
        <w:rPr>
          <w:rFonts w:ascii="Comic Sans MS" w:hAnsi="Comic Sans MS"/>
          <w:i/>
          <w:sz w:val="18"/>
          <w:szCs w:val="22"/>
          <w:lang w:val="it-IT"/>
        </w:rPr>
        <w:t>,</w:t>
      </w:r>
      <w:r w:rsidRPr="006A2A41">
        <w:rPr>
          <w:rFonts w:ascii="Comic Sans MS" w:hAnsi="Comic Sans MS"/>
          <w:i/>
          <w:sz w:val="18"/>
          <w:szCs w:val="22"/>
          <w:lang w:val="it-IT"/>
        </w:rPr>
        <w:t xml:space="preserve"> esse sarebbero affidate immediatamente ai capitani dei ferry-boat per essere ricondotte in Grecia</w:t>
      </w:r>
      <w:r w:rsidRPr="006A2A41">
        <w:rPr>
          <w:rFonts w:ascii="Comic Sans MS" w:hAnsi="Comic Sans MS"/>
          <w:sz w:val="18"/>
          <w:szCs w:val="22"/>
          <w:lang w:val="it-IT"/>
        </w:rPr>
        <w:t>”.</w:t>
      </w:r>
    </w:p>
    <w:p w:rsidR="000D52C2" w:rsidRDefault="000D52C2">
      <w:pPr>
        <w:pStyle w:val="Textonotapie"/>
      </w:pPr>
    </w:p>
  </w:footnote>
  <w:footnote w:id="17">
    <w:p w:rsidR="000D52C2" w:rsidRPr="0025143B" w:rsidRDefault="000D52C2" w:rsidP="0025143B">
      <w:pPr>
        <w:jc w:val="both"/>
        <w:rPr>
          <w:rFonts w:ascii="Comic Sans MS" w:hAnsi="Comic Sans MS"/>
          <w:sz w:val="18"/>
          <w:lang w:val="it-IT"/>
        </w:rPr>
      </w:pPr>
      <w:r>
        <w:rPr>
          <w:rStyle w:val="Refdenotaalpie"/>
        </w:rPr>
        <w:footnoteRef/>
      </w:r>
      <w:r>
        <w:t xml:space="preserve"> </w:t>
      </w:r>
      <w:r w:rsidRPr="0025143B">
        <w:rPr>
          <w:rFonts w:ascii="Comic Sans MS" w:hAnsi="Comic Sans MS"/>
          <w:sz w:val="18"/>
          <w:lang w:val="it-IT"/>
        </w:rPr>
        <w:t>Anche la Camera dei Deputati ha istituito</w:t>
      </w:r>
      <w:r>
        <w:rPr>
          <w:rFonts w:ascii="Comic Sans MS" w:hAnsi="Comic Sans MS"/>
          <w:sz w:val="18"/>
          <w:lang w:val="it-IT"/>
        </w:rPr>
        <w:t xml:space="preserve">, presso la propria Avvocatura, </w:t>
      </w:r>
      <w:r w:rsidRPr="0025143B">
        <w:rPr>
          <w:rFonts w:ascii="Comic Sans MS" w:hAnsi="Comic Sans MS"/>
          <w:sz w:val="18"/>
          <w:lang w:val="it-IT"/>
        </w:rPr>
        <w:t xml:space="preserve">un </w:t>
      </w:r>
      <w:r>
        <w:rPr>
          <w:rFonts w:ascii="Comic Sans MS" w:hAnsi="Comic Sans MS"/>
          <w:sz w:val="18"/>
          <w:lang w:val="it-IT"/>
        </w:rPr>
        <w:t>Os</w:t>
      </w:r>
      <w:r w:rsidRPr="0025143B">
        <w:rPr>
          <w:rFonts w:ascii="Comic Sans MS" w:hAnsi="Comic Sans MS"/>
          <w:sz w:val="18"/>
          <w:lang w:val="it-IT"/>
        </w:rPr>
        <w:t>servatorio</w:t>
      </w:r>
      <w:r>
        <w:rPr>
          <w:rFonts w:ascii="Comic Sans MS" w:hAnsi="Comic Sans MS"/>
          <w:sz w:val="18"/>
          <w:lang w:val="it-IT"/>
        </w:rPr>
        <w:t xml:space="preserve"> sulle sentenze della Corte EDU. </w:t>
      </w:r>
      <w:r w:rsidRPr="0025143B">
        <w:rPr>
          <w:rFonts w:ascii="Comic Sans MS" w:hAnsi="Comic Sans MS"/>
          <w:sz w:val="18"/>
          <w:lang w:val="it-IT"/>
        </w:rPr>
        <w:t>L'attività dell'Osservatorio</w:t>
      </w:r>
      <w:r>
        <w:rPr>
          <w:rFonts w:ascii="Comic Sans MS" w:hAnsi="Comic Sans MS"/>
          <w:sz w:val="18"/>
          <w:lang w:val="it-IT"/>
        </w:rPr>
        <w:t xml:space="preserve"> – come si legge sulla pagine web della Camera - </w:t>
      </w:r>
      <w:r w:rsidRPr="0025143B">
        <w:rPr>
          <w:rFonts w:ascii="Comic Sans MS" w:hAnsi="Comic Sans MS"/>
          <w:sz w:val="18"/>
          <w:lang w:val="it-IT"/>
        </w:rPr>
        <w:t xml:space="preserve">si pone in relazione agli indirizzi adottati dalla Presidenza della Camera nelle </w:t>
      </w:r>
      <w:r>
        <w:rPr>
          <w:rFonts w:ascii="Comic Sans MS" w:hAnsi="Comic Sans MS"/>
          <w:sz w:val="18"/>
          <w:lang w:val="it-IT"/>
        </w:rPr>
        <w:t xml:space="preserve">precedenti </w:t>
      </w:r>
      <w:r w:rsidRPr="0025143B">
        <w:rPr>
          <w:rFonts w:ascii="Comic Sans MS" w:hAnsi="Comic Sans MS"/>
          <w:sz w:val="18"/>
          <w:lang w:val="it-IT"/>
        </w:rPr>
        <w:t>legislature in ordine all'introduzione, nell'istruttoria legislativa delle Commissioni parlamentari della valutazione di compatibilità dei progetti di legge con la Convenzione europea dei diritti dell'uomo e delle libertà fondamentali (CEDU).</w:t>
      </w:r>
    </w:p>
    <w:p w:rsidR="000D52C2" w:rsidRPr="0025143B" w:rsidRDefault="000D52C2">
      <w:pPr>
        <w:pStyle w:val="Textonotapie"/>
        <w:rPr>
          <w:rFonts w:ascii="Comic Sans MS" w:hAnsi="Comic Sans MS"/>
          <w:sz w:val="18"/>
          <w:lang w:val="it-IT"/>
        </w:rPr>
      </w:pPr>
      <w:r w:rsidRPr="0025143B">
        <w:rPr>
          <w:rFonts w:ascii="Comic Sans MS" w:hAnsi="Comic Sans MS"/>
          <w:sz w:val="18"/>
          <w:lang w:val="it-IT"/>
        </w:rP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1">
    <w:nsid w:val="0DF53080"/>
    <w:multiLevelType w:val="hybridMultilevel"/>
    <w:tmpl w:val="9A4026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250F0"/>
    <w:rsid w:val="00021228"/>
    <w:rsid w:val="00024CC7"/>
    <w:rsid w:val="00036A5B"/>
    <w:rsid w:val="000563D9"/>
    <w:rsid w:val="00056810"/>
    <w:rsid w:val="00060E26"/>
    <w:rsid w:val="00062E5A"/>
    <w:rsid w:val="00065964"/>
    <w:rsid w:val="00066378"/>
    <w:rsid w:val="000862E8"/>
    <w:rsid w:val="00095789"/>
    <w:rsid w:val="00096B91"/>
    <w:rsid w:val="000B2F28"/>
    <w:rsid w:val="000D52C2"/>
    <w:rsid w:val="000E478A"/>
    <w:rsid w:val="000E4B00"/>
    <w:rsid w:val="000E54DC"/>
    <w:rsid w:val="000F1BCB"/>
    <w:rsid w:val="000F2FFE"/>
    <w:rsid w:val="0010425D"/>
    <w:rsid w:val="00121B87"/>
    <w:rsid w:val="0015231A"/>
    <w:rsid w:val="001529FE"/>
    <w:rsid w:val="00155D40"/>
    <w:rsid w:val="00172394"/>
    <w:rsid w:val="00181617"/>
    <w:rsid w:val="00185C59"/>
    <w:rsid w:val="00196660"/>
    <w:rsid w:val="00196F3B"/>
    <w:rsid w:val="001A4CB3"/>
    <w:rsid w:val="001A53A0"/>
    <w:rsid w:val="001B4FA7"/>
    <w:rsid w:val="001D313A"/>
    <w:rsid w:val="001F036C"/>
    <w:rsid w:val="00230868"/>
    <w:rsid w:val="0023612F"/>
    <w:rsid w:val="002445CA"/>
    <w:rsid w:val="0025143B"/>
    <w:rsid w:val="00263F4D"/>
    <w:rsid w:val="00264975"/>
    <w:rsid w:val="002667DB"/>
    <w:rsid w:val="00266DC1"/>
    <w:rsid w:val="002A1648"/>
    <w:rsid w:val="002A5F19"/>
    <w:rsid w:val="002D121A"/>
    <w:rsid w:val="002D1C43"/>
    <w:rsid w:val="002F36FE"/>
    <w:rsid w:val="00300DBA"/>
    <w:rsid w:val="0030699E"/>
    <w:rsid w:val="003122EA"/>
    <w:rsid w:val="00314963"/>
    <w:rsid w:val="003173A9"/>
    <w:rsid w:val="0031774C"/>
    <w:rsid w:val="003207F2"/>
    <w:rsid w:val="00332DD4"/>
    <w:rsid w:val="003477E7"/>
    <w:rsid w:val="00354B20"/>
    <w:rsid w:val="00384B18"/>
    <w:rsid w:val="00392F51"/>
    <w:rsid w:val="003B3864"/>
    <w:rsid w:val="003B46EB"/>
    <w:rsid w:val="003B70C9"/>
    <w:rsid w:val="003D1511"/>
    <w:rsid w:val="003E0196"/>
    <w:rsid w:val="003E34CA"/>
    <w:rsid w:val="003F6025"/>
    <w:rsid w:val="0040290C"/>
    <w:rsid w:val="004041D0"/>
    <w:rsid w:val="00412C4B"/>
    <w:rsid w:val="00432773"/>
    <w:rsid w:val="00437D32"/>
    <w:rsid w:val="0044373E"/>
    <w:rsid w:val="004652AF"/>
    <w:rsid w:val="00476E2C"/>
    <w:rsid w:val="00482150"/>
    <w:rsid w:val="004A1643"/>
    <w:rsid w:val="004C3CB0"/>
    <w:rsid w:val="004E1AF3"/>
    <w:rsid w:val="004F32F0"/>
    <w:rsid w:val="00501041"/>
    <w:rsid w:val="00513061"/>
    <w:rsid w:val="005258F4"/>
    <w:rsid w:val="0054299B"/>
    <w:rsid w:val="00546DC5"/>
    <w:rsid w:val="00553385"/>
    <w:rsid w:val="00584097"/>
    <w:rsid w:val="00584510"/>
    <w:rsid w:val="00586088"/>
    <w:rsid w:val="005A1065"/>
    <w:rsid w:val="005A20CC"/>
    <w:rsid w:val="005A3268"/>
    <w:rsid w:val="005B4618"/>
    <w:rsid w:val="005D3907"/>
    <w:rsid w:val="005E44DD"/>
    <w:rsid w:val="00604E4F"/>
    <w:rsid w:val="00641422"/>
    <w:rsid w:val="00646CFD"/>
    <w:rsid w:val="00653F3F"/>
    <w:rsid w:val="0066289F"/>
    <w:rsid w:val="00663D71"/>
    <w:rsid w:val="00665131"/>
    <w:rsid w:val="0068724A"/>
    <w:rsid w:val="006A2A41"/>
    <w:rsid w:val="006A79A3"/>
    <w:rsid w:val="006E0338"/>
    <w:rsid w:val="006E23C0"/>
    <w:rsid w:val="006F631E"/>
    <w:rsid w:val="0070100F"/>
    <w:rsid w:val="00703368"/>
    <w:rsid w:val="007043A2"/>
    <w:rsid w:val="007147C0"/>
    <w:rsid w:val="00721870"/>
    <w:rsid w:val="00732AA7"/>
    <w:rsid w:val="00740D7F"/>
    <w:rsid w:val="007520BE"/>
    <w:rsid w:val="007650CD"/>
    <w:rsid w:val="00774E05"/>
    <w:rsid w:val="00776469"/>
    <w:rsid w:val="00787D21"/>
    <w:rsid w:val="007975C6"/>
    <w:rsid w:val="007C3219"/>
    <w:rsid w:val="007C4E79"/>
    <w:rsid w:val="00802100"/>
    <w:rsid w:val="008036C2"/>
    <w:rsid w:val="00810D8E"/>
    <w:rsid w:val="008161D0"/>
    <w:rsid w:val="00821165"/>
    <w:rsid w:val="00834720"/>
    <w:rsid w:val="008412D1"/>
    <w:rsid w:val="00843936"/>
    <w:rsid w:val="00845BE3"/>
    <w:rsid w:val="00851085"/>
    <w:rsid w:val="00863907"/>
    <w:rsid w:val="008678EF"/>
    <w:rsid w:val="00875094"/>
    <w:rsid w:val="00887C67"/>
    <w:rsid w:val="0089094F"/>
    <w:rsid w:val="008926D5"/>
    <w:rsid w:val="00894329"/>
    <w:rsid w:val="008C692F"/>
    <w:rsid w:val="008D6741"/>
    <w:rsid w:val="008E4E22"/>
    <w:rsid w:val="008F29E7"/>
    <w:rsid w:val="00905943"/>
    <w:rsid w:val="00910E7E"/>
    <w:rsid w:val="00911C03"/>
    <w:rsid w:val="009134BA"/>
    <w:rsid w:val="009250F0"/>
    <w:rsid w:val="00926A9F"/>
    <w:rsid w:val="0092713D"/>
    <w:rsid w:val="00932282"/>
    <w:rsid w:val="009426CF"/>
    <w:rsid w:val="00942C0C"/>
    <w:rsid w:val="00957756"/>
    <w:rsid w:val="009704F5"/>
    <w:rsid w:val="009756CA"/>
    <w:rsid w:val="009813F9"/>
    <w:rsid w:val="00981810"/>
    <w:rsid w:val="009A5780"/>
    <w:rsid w:val="009A7F0A"/>
    <w:rsid w:val="009C28D5"/>
    <w:rsid w:val="009C4692"/>
    <w:rsid w:val="00A05456"/>
    <w:rsid w:val="00A346FA"/>
    <w:rsid w:val="00A40A91"/>
    <w:rsid w:val="00A44851"/>
    <w:rsid w:val="00A638D4"/>
    <w:rsid w:val="00A6601A"/>
    <w:rsid w:val="00A77B5E"/>
    <w:rsid w:val="00A96000"/>
    <w:rsid w:val="00A97FC4"/>
    <w:rsid w:val="00AA6739"/>
    <w:rsid w:val="00AD7DE9"/>
    <w:rsid w:val="00AE05F9"/>
    <w:rsid w:val="00AE14F2"/>
    <w:rsid w:val="00AE37E1"/>
    <w:rsid w:val="00AE3956"/>
    <w:rsid w:val="00AE6AB5"/>
    <w:rsid w:val="00AE6C45"/>
    <w:rsid w:val="00AF0BDA"/>
    <w:rsid w:val="00AF11A2"/>
    <w:rsid w:val="00AF7FB8"/>
    <w:rsid w:val="00B0064C"/>
    <w:rsid w:val="00B0754A"/>
    <w:rsid w:val="00B127DA"/>
    <w:rsid w:val="00B12D77"/>
    <w:rsid w:val="00B177A3"/>
    <w:rsid w:val="00B2409E"/>
    <w:rsid w:val="00B27B63"/>
    <w:rsid w:val="00B34CE3"/>
    <w:rsid w:val="00B41521"/>
    <w:rsid w:val="00B45396"/>
    <w:rsid w:val="00B53B45"/>
    <w:rsid w:val="00B706D2"/>
    <w:rsid w:val="00B77DF5"/>
    <w:rsid w:val="00B825EC"/>
    <w:rsid w:val="00B867E6"/>
    <w:rsid w:val="00BA06E5"/>
    <w:rsid w:val="00BA2B11"/>
    <w:rsid w:val="00BD24B8"/>
    <w:rsid w:val="00BD4163"/>
    <w:rsid w:val="00BD789B"/>
    <w:rsid w:val="00BE1F59"/>
    <w:rsid w:val="00BF2B2D"/>
    <w:rsid w:val="00BF6192"/>
    <w:rsid w:val="00C003ED"/>
    <w:rsid w:val="00C103BA"/>
    <w:rsid w:val="00C172AF"/>
    <w:rsid w:val="00C221BA"/>
    <w:rsid w:val="00C23E4D"/>
    <w:rsid w:val="00C4046F"/>
    <w:rsid w:val="00C552C3"/>
    <w:rsid w:val="00C5781B"/>
    <w:rsid w:val="00C667AF"/>
    <w:rsid w:val="00C678C7"/>
    <w:rsid w:val="00C72222"/>
    <w:rsid w:val="00C77036"/>
    <w:rsid w:val="00C83CF2"/>
    <w:rsid w:val="00CA7465"/>
    <w:rsid w:val="00CA7F53"/>
    <w:rsid w:val="00CC27E6"/>
    <w:rsid w:val="00CC4DDA"/>
    <w:rsid w:val="00CE22C3"/>
    <w:rsid w:val="00CE600C"/>
    <w:rsid w:val="00CF76CC"/>
    <w:rsid w:val="00CF7931"/>
    <w:rsid w:val="00D11728"/>
    <w:rsid w:val="00D22393"/>
    <w:rsid w:val="00D32B70"/>
    <w:rsid w:val="00D33DE3"/>
    <w:rsid w:val="00D350BD"/>
    <w:rsid w:val="00D37310"/>
    <w:rsid w:val="00D57820"/>
    <w:rsid w:val="00D61B1A"/>
    <w:rsid w:val="00D97B52"/>
    <w:rsid w:val="00E071F3"/>
    <w:rsid w:val="00E075C8"/>
    <w:rsid w:val="00E076D0"/>
    <w:rsid w:val="00E10BF4"/>
    <w:rsid w:val="00E2182B"/>
    <w:rsid w:val="00E36367"/>
    <w:rsid w:val="00E47DFB"/>
    <w:rsid w:val="00E50D61"/>
    <w:rsid w:val="00E51470"/>
    <w:rsid w:val="00E53268"/>
    <w:rsid w:val="00E667D4"/>
    <w:rsid w:val="00E82FE2"/>
    <w:rsid w:val="00E907BA"/>
    <w:rsid w:val="00E941CE"/>
    <w:rsid w:val="00E9460B"/>
    <w:rsid w:val="00E97D32"/>
    <w:rsid w:val="00EA37E5"/>
    <w:rsid w:val="00ED5270"/>
    <w:rsid w:val="00ED70BE"/>
    <w:rsid w:val="00EE1E70"/>
    <w:rsid w:val="00F10672"/>
    <w:rsid w:val="00F1317B"/>
    <w:rsid w:val="00F2511C"/>
    <w:rsid w:val="00F43B9B"/>
    <w:rsid w:val="00F43E5E"/>
    <w:rsid w:val="00F63DC3"/>
    <w:rsid w:val="00F665E1"/>
    <w:rsid w:val="00F76D94"/>
    <w:rsid w:val="00F8683C"/>
    <w:rsid w:val="00FA7E07"/>
    <w:rsid w:val="00FB13D4"/>
    <w:rsid w:val="00FB2AB1"/>
    <w:rsid w:val="00FC367B"/>
    <w:rsid w:val="00FE0DEB"/>
    <w:rsid w:val="00FE30AB"/>
    <w:rsid w:val="00FF49C9"/>
    <w:rsid w:val="00FF553E"/>
  </w:rsids>
  <m:mathPr>
    <m:mathFont m:val="Impact"/>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56"/>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iedepgina">
    <w:name w:val="footer"/>
    <w:basedOn w:val="Normal"/>
    <w:link w:val="PiedepginaCar"/>
    <w:uiPriority w:val="99"/>
    <w:semiHidden/>
    <w:unhideWhenUsed/>
    <w:rsid w:val="00024CC7"/>
    <w:pPr>
      <w:tabs>
        <w:tab w:val="center" w:pos="4252"/>
        <w:tab w:val="right" w:pos="8504"/>
      </w:tabs>
    </w:pPr>
  </w:style>
  <w:style w:type="character" w:customStyle="1" w:styleId="PiedepginaCar">
    <w:name w:val="Pie de página Car"/>
    <w:basedOn w:val="Fuentedeprrafopredeter"/>
    <w:link w:val="Piedepgina"/>
    <w:uiPriority w:val="99"/>
    <w:semiHidden/>
    <w:rsid w:val="00024CC7"/>
  </w:style>
  <w:style w:type="character" w:styleId="Nmerodepgina">
    <w:name w:val="page number"/>
    <w:basedOn w:val="Fuentedeprrafopredeter"/>
    <w:uiPriority w:val="99"/>
    <w:semiHidden/>
    <w:unhideWhenUsed/>
    <w:rsid w:val="00024CC7"/>
  </w:style>
  <w:style w:type="paragraph" w:styleId="NormalWeb">
    <w:name w:val="Normal (Web)"/>
    <w:basedOn w:val="Normal"/>
    <w:uiPriority w:val="99"/>
    <w:rsid w:val="009C28D5"/>
    <w:pPr>
      <w:spacing w:beforeLines="1" w:afterLines="1"/>
    </w:pPr>
    <w:rPr>
      <w:rFonts w:ascii="Times" w:hAnsi="Times" w:cs="Times New Roman"/>
      <w:sz w:val="20"/>
      <w:szCs w:val="20"/>
      <w:lang w:eastAsia="es-ES_tradnl"/>
    </w:rPr>
  </w:style>
  <w:style w:type="paragraph" w:styleId="Textonotapie">
    <w:name w:val="footnote text"/>
    <w:basedOn w:val="Normal"/>
    <w:link w:val="TextonotapieCar"/>
    <w:semiHidden/>
    <w:unhideWhenUsed/>
    <w:rsid w:val="00196F3B"/>
  </w:style>
  <w:style w:type="character" w:customStyle="1" w:styleId="TextonotapieCar">
    <w:name w:val="Texto nota pie Car"/>
    <w:basedOn w:val="Fuentedeprrafopredeter"/>
    <w:link w:val="Textonotapie"/>
    <w:semiHidden/>
    <w:rsid w:val="00196F3B"/>
  </w:style>
  <w:style w:type="character" w:styleId="Refdenotaalpie">
    <w:name w:val="footnote reference"/>
    <w:basedOn w:val="Fuentedeprrafopredeter"/>
    <w:uiPriority w:val="99"/>
    <w:semiHidden/>
    <w:unhideWhenUsed/>
    <w:rsid w:val="00196F3B"/>
    <w:rPr>
      <w:vertAlign w:val="superscript"/>
    </w:rPr>
  </w:style>
  <w:style w:type="paragraph" w:customStyle="1" w:styleId="ParaAttribute9">
    <w:name w:val="ParaAttribute9"/>
    <w:rsid w:val="004652AF"/>
    <w:pPr>
      <w:suppressAutoHyphens/>
      <w:spacing w:line="100" w:lineRule="atLeast"/>
      <w:jc w:val="both"/>
    </w:pPr>
    <w:rPr>
      <w:rFonts w:ascii="Times New Roman" w:eastAsia="¹Å" w:hAnsi="Times New Roman" w:cs="Times New Roman"/>
      <w:kern w:val="1"/>
      <w:sz w:val="20"/>
      <w:szCs w:val="20"/>
      <w:lang w:val="it-IT" w:eastAsia="ar-SA"/>
    </w:rPr>
  </w:style>
  <w:style w:type="paragraph" w:customStyle="1" w:styleId="Default">
    <w:name w:val="Default"/>
    <w:rsid w:val="005A20CC"/>
    <w:pPr>
      <w:widowControl w:val="0"/>
      <w:autoSpaceDE w:val="0"/>
      <w:autoSpaceDN w:val="0"/>
      <w:adjustRightInd w:val="0"/>
    </w:pPr>
    <w:rPr>
      <w:rFonts w:ascii="Book Antiqua" w:hAnsi="Book Antiqua" w:cs="Book Antiqua"/>
      <w:color w:val="000000"/>
    </w:rPr>
  </w:style>
  <w:style w:type="paragraph" w:customStyle="1" w:styleId="JuPara">
    <w:name w:val="Ju_Para"/>
    <w:rsid w:val="000563D9"/>
    <w:pPr>
      <w:suppressAutoHyphens/>
      <w:spacing w:line="100" w:lineRule="atLeast"/>
      <w:ind w:firstLine="284"/>
      <w:jc w:val="both"/>
    </w:pPr>
    <w:rPr>
      <w:rFonts w:ascii="Times New Roman" w:eastAsia="SimSun" w:hAnsi="Times New Roman" w:cs="Times New Roman"/>
      <w:kern w:val="1"/>
      <w:szCs w:val="20"/>
      <w:lang w:val="fr-FR" w:eastAsia="ar-SA"/>
    </w:rPr>
  </w:style>
  <w:style w:type="character" w:customStyle="1" w:styleId="apple-converted-space">
    <w:name w:val="apple-converted-space"/>
    <w:basedOn w:val="Fuentedeprrafopredeter"/>
    <w:rsid w:val="00663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340835">
      <w:bodyDiv w:val="1"/>
      <w:marLeft w:val="0"/>
      <w:marRight w:val="0"/>
      <w:marTop w:val="0"/>
      <w:marBottom w:val="0"/>
      <w:divBdr>
        <w:top w:val="none" w:sz="0" w:space="0" w:color="auto"/>
        <w:left w:val="none" w:sz="0" w:space="0" w:color="auto"/>
        <w:bottom w:val="none" w:sz="0" w:space="0" w:color="auto"/>
        <w:right w:val="none" w:sz="0" w:space="0" w:color="auto"/>
      </w:divBdr>
      <w:divsChild>
        <w:div w:id="287703831">
          <w:marLeft w:val="0"/>
          <w:marRight w:val="0"/>
          <w:marTop w:val="0"/>
          <w:marBottom w:val="0"/>
          <w:divBdr>
            <w:top w:val="none" w:sz="0" w:space="0" w:color="auto"/>
            <w:left w:val="none" w:sz="0" w:space="0" w:color="auto"/>
            <w:bottom w:val="none" w:sz="0" w:space="0" w:color="auto"/>
            <w:right w:val="none" w:sz="0" w:space="0" w:color="auto"/>
          </w:divBdr>
          <w:divsChild>
            <w:div w:id="723454433">
              <w:marLeft w:val="0"/>
              <w:marRight w:val="0"/>
              <w:marTop w:val="0"/>
              <w:marBottom w:val="0"/>
              <w:divBdr>
                <w:top w:val="none" w:sz="0" w:space="0" w:color="auto"/>
                <w:left w:val="none" w:sz="0" w:space="0" w:color="auto"/>
                <w:bottom w:val="none" w:sz="0" w:space="0" w:color="auto"/>
                <w:right w:val="none" w:sz="0" w:space="0" w:color="auto"/>
              </w:divBdr>
              <w:divsChild>
                <w:div w:id="12554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1220">
          <w:marLeft w:val="0"/>
          <w:marRight w:val="0"/>
          <w:marTop w:val="0"/>
          <w:marBottom w:val="0"/>
          <w:divBdr>
            <w:top w:val="none" w:sz="0" w:space="0" w:color="auto"/>
            <w:left w:val="none" w:sz="0" w:space="0" w:color="auto"/>
            <w:bottom w:val="none" w:sz="0" w:space="0" w:color="auto"/>
            <w:right w:val="none" w:sz="0" w:space="0" w:color="auto"/>
          </w:divBdr>
          <w:divsChild>
            <w:div w:id="662975140">
              <w:marLeft w:val="0"/>
              <w:marRight w:val="0"/>
              <w:marTop w:val="0"/>
              <w:marBottom w:val="0"/>
              <w:divBdr>
                <w:top w:val="none" w:sz="0" w:space="0" w:color="auto"/>
                <w:left w:val="none" w:sz="0" w:space="0" w:color="auto"/>
                <w:bottom w:val="none" w:sz="0" w:space="0" w:color="auto"/>
                <w:right w:val="none" w:sz="0" w:space="0" w:color="auto"/>
              </w:divBdr>
              <w:divsChild>
                <w:div w:id="16848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1670">
      <w:bodyDiv w:val="1"/>
      <w:marLeft w:val="0"/>
      <w:marRight w:val="0"/>
      <w:marTop w:val="0"/>
      <w:marBottom w:val="0"/>
      <w:divBdr>
        <w:top w:val="none" w:sz="0" w:space="0" w:color="auto"/>
        <w:left w:val="none" w:sz="0" w:space="0" w:color="auto"/>
        <w:bottom w:val="none" w:sz="0" w:space="0" w:color="auto"/>
        <w:right w:val="none" w:sz="0" w:space="0" w:color="auto"/>
      </w:divBdr>
    </w:div>
    <w:div w:id="753282961">
      <w:bodyDiv w:val="1"/>
      <w:marLeft w:val="0"/>
      <w:marRight w:val="0"/>
      <w:marTop w:val="0"/>
      <w:marBottom w:val="0"/>
      <w:divBdr>
        <w:top w:val="none" w:sz="0" w:space="0" w:color="auto"/>
        <w:left w:val="none" w:sz="0" w:space="0" w:color="auto"/>
        <w:bottom w:val="none" w:sz="0" w:space="0" w:color="auto"/>
        <w:right w:val="none" w:sz="0" w:space="0" w:color="auto"/>
      </w:divBdr>
    </w:div>
    <w:div w:id="1670524206">
      <w:bodyDiv w:val="1"/>
      <w:marLeft w:val="0"/>
      <w:marRight w:val="0"/>
      <w:marTop w:val="0"/>
      <w:marBottom w:val="0"/>
      <w:divBdr>
        <w:top w:val="none" w:sz="0" w:space="0" w:color="auto"/>
        <w:left w:val="none" w:sz="0" w:space="0" w:color="auto"/>
        <w:bottom w:val="none" w:sz="0" w:space="0" w:color="auto"/>
        <w:right w:val="none" w:sz="0" w:space="0" w:color="auto"/>
      </w:divBdr>
    </w:div>
    <w:div w:id="1699619012">
      <w:bodyDiv w:val="1"/>
      <w:marLeft w:val="0"/>
      <w:marRight w:val="0"/>
      <w:marTop w:val="0"/>
      <w:marBottom w:val="0"/>
      <w:divBdr>
        <w:top w:val="none" w:sz="0" w:space="0" w:color="auto"/>
        <w:left w:val="none" w:sz="0" w:space="0" w:color="auto"/>
        <w:bottom w:val="none" w:sz="0" w:space="0" w:color="auto"/>
        <w:right w:val="none" w:sz="0" w:space="0" w:color="auto"/>
      </w:divBdr>
    </w:div>
    <w:div w:id="1855262674">
      <w:bodyDiv w:val="1"/>
      <w:marLeft w:val="0"/>
      <w:marRight w:val="0"/>
      <w:marTop w:val="0"/>
      <w:marBottom w:val="0"/>
      <w:divBdr>
        <w:top w:val="none" w:sz="0" w:space="0" w:color="auto"/>
        <w:left w:val="none" w:sz="0" w:space="0" w:color="auto"/>
        <w:bottom w:val="none" w:sz="0" w:space="0" w:color="auto"/>
        <w:right w:val="none" w:sz="0" w:space="0" w:color="auto"/>
      </w:divBdr>
    </w:div>
    <w:div w:id="2072651534">
      <w:bodyDiv w:val="1"/>
      <w:marLeft w:val="0"/>
      <w:marRight w:val="0"/>
      <w:marTop w:val="0"/>
      <w:marBottom w:val="0"/>
      <w:divBdr>
        <w:top w:val="none" w:sz="0" w:space="0" w:color="auto"/>
        <w:left w:val="none" w:sz="0" w:space="0" w:color="auto"/>
        <w:bottom w:val="none" w:sz="0" w:space="0" w:color="auto"/>
        <w:right w:val="none" w:sz="0" w:space="0" w:color="auto"/>
      </w:divBdr>
      <w:divsChild>
        <w:div w:id="1769889915">
          <w:marLeft w:val="0"/>
          <w:marRight w:val="0"/>
          <w:marTop w:val="0"/>
          <w:marBottom w:val="0"/>
          <w:divBdr>
            <w:top w:val="none" w:sz="0" w:space="0" w:color="auto"/>
            <w:left w:val="none" w:sz="0" w:space="0" w:color="auto"/>
            <w:bottom w:val="none" w:sz="0" w:space="0" w:color="auto"/>
            <w:right w:val="none" w:sz="0" w:space="0" w:color="auto"/>
          </w:divBdr>
          <w:divsChild>
            <w:div w:id="998312686">
              <w:marLeft w:val="0"/>
              <w:marRight w:val="0"/>
              <w:marTop w:val="0"/>
              <w:marBottom w:val="0"/>
              <w:divBdr>
                <w:top w:val="none" w:sz="0" w:space="0" w:color="auto"/>
                <w:left w:val="none" w:sz="0" w:space="0" w:color="auto"/>
                <w:bottom w:val="none" w:sz="0" w:space="0" w:color="auto"/>
                <w:right w:val="none" w:sz="0" w:space="0" w:color="auto"/>
              </w:divBdr>
              <w:divsChild>
                <w:div w:id="1226451048">
                  <w:marLeft w:val="0"/>
                  <w:marRight w:val="0"/>
                  <w:marTop w:val="0"/>
                  <w:marBottom w:val="0"/>
                  <w:divBdr>
                    <w:top w:val="none" w:sz="0" w:space="0" w:color="auto"/>
                    <w:left w:val="none" w:sz="0" w:space="0" w:color="auto"/>
                    <w:bottom w:val="none" w:sz="0" w:space="0" w:color="auto"/>
                    <w:right w:val="none" w:sz="0" w:space="0" w:color="auto"/>
                  </w:divBdr>
                  <w:divsChild>
                    <w:div w:id="1249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2745</TotalTime>
  <Pages>18</Pages>
  <Words>6784</Words>
  <Characters>38673</Characters>
  <Application>Microsoft Macintosh Word</Application>
  <DocSecurity>0</DocSecurity>
  <Lines>322</Lines>
  <Paragraphs>77</Paragraphs>
  <ScaleCrop>false</ScaleCrop>
  <HeadingPairs>
    <vt:vector size="2" baseType="variant">
      <vt:variant>
        <vt:lpstr>Titolo</vt:lpstr>
      </vt:variant>
      <vt:variant>
        <vt:i4>1</vt:i4>
      </vt:variant>
    </vt:vector>
  </HeadingPairs>
  <TitlesOfParts>
    <vt:vector size="1" baseType="lpstr">
      <vt:lpstr/>
    </vt:vector>
  </TitlesOfParts>
  <Company>leo</Company>
  <LinksUpToDate>false</LinksUpToDate>
  <CharactersWithSpaces>47493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Leo D'Agostino</cp:lastModifiedBy>
  <cp:revision>119</cp:revision>
  <cp:lastPrinted>2018-10-24T15:22:00Z</cp:lastPrinted>
  <dcterms:created xsi:type="dcterms:W3CDTF">2018-10-09T06:54:00Z</dcterms:created>
  <dcterms:modified xsi:type="dcterms:W3CDTF">2018-10-25T10:56:00Z</dcterms:modified>
</cp:coreProperties>
</file>